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813" w:rsidRDefault="00174813">
      <w:pPr>
        <w:pStyle w:val="Prored"/>
        <w:rPr>
          <w:rFonts w:ascii="Trebuchet MS" w:hAnsi="Trebuchet MS"/>
          <w:lang w:val="en-US"/>
        </w:rPr>
      </w:pPr>
    </w:p>
    <w:p w:rsidR="00C15ED5" w:rsidRPr="00192893" w:rsidRDefault="00C15ED5" w:rsidP="00C15ED5">
      <w:pPr>
        <w:spacing w:before="0"/>
        <w:ind w:firstLine="567"/>
        <w:rPr>
          <w:rFonts w:eastAsia="Calibri"/>
          <w:sz w:val="24"/>
          <w:szCs w:val="24"/>
          <w:lang w:val="en-GB"/>
        </w:rPr>
      </w:pPr>
      <w:r w:rsidRPr="00192893">
        <w:rPr>
          <w:rFonts w:eastAsia="Calibri"/>
          <w:sz w:val="24"/>
          <w:szCs w:val="24"/>
          <w:lang w:val="en-GB"/>
        </w:rPr>
        <w:t>На основу члана 32.</w:t>
      </w:r>
      <w:r>
        <w:rPr>
          <w:rFonts w:eastAsia="Calibri"/>
          <w:sz w:val="24"/>
          <w:szCs w:val="24"/>
          <w:lang w:val="sr-Cyrl-RS"/>
        </w:rPr>
        <w:t xml:space="preserve"> </w:t>
      </w:r>
      <w:r w:rsidRPr="00192893">
        <w:rPr>
          <w:rFonts w:eastAsia="Calibri"/>
          <w:sz w:val="24"/>
          <w:szCs w:val="24"/>
          <w:lang w:val="en-GB"/>
        </w:rPr>
        <w:t>Закона о локалној самоуправи (</w:t>
      </w:r>
      <w:r>
        <w:rPr>
          <w:rFonts w:eastAsia="Calibri"/>
          <w:sz w:val="24"/>
          <w:szCs w:val="24"/>
          <w:lang w:val="sr-Cyrl-RS"/>
        </w:rPr>
        <w:t>„</w:t>
      </w:r>
      <w:r>
        <w:rPr>
          <w:rFonts w:eastAsia="Calibri"/>
          <w:sz w:val="24"/>
          <w:szCs w:val="24"/>
          <w:lang w:val="en-GB"/>
        </w:rPr>
        <w:t xml:space="preserve">Сл. </w:t>
      </w:r>
      <w:r>
        <w:rPr>
          <w:rFonts w:eastAsia="Calibri"/>
          <w:sz w:val="24"/>
          <w:szCs w:val="24"/>
          <w:lang w:val="sr-Cyrl-RS"/>
        </w:rPr>
        <w:t>г</w:t>
      </w:r>
      <w:r w:rsidRPr="00192893">
        <w:rPr>
          <w:rFonts w:eastAsia="Calibri"/>
          <w:sz w:val="24"/>
          <w:szCs w:val="24"/>
          <w:lang w:val="en-GB"/>
        </w:rPr>
        <w:t>л</w:t>
      </w:r>
      <w:r>
        <w:rPr>
          <w:rFonts w:eastAsia="Calibri"/>
          <w:sz w:val="24"/>
          <w:szCs w:val="24"/>
          <w:lang w:val="sr-Cyrl-RS"/>
        </w:rPr>
        <w:t>асник</w:t>
      </w:r>
      <w:r w:rsidRPr="00192893">
        <w:rPr>
          <w:rFonts w:eastAsia="Calibri"/>
          <w:sz w:val="24"/>
          <w:szCs w:val="24"/>
          <w:lang w:val="en-GB"/>
        </w:rPr>
        <w:t xml:space="preserve"> Р</w:t>
      </w:r>
      <w:r>
        <w:rPr>
          <w:rFonts w:eastAsia="Calibri"/>
          <w:sz w:val="24"/>
          <w:szCs w:val="24"/>
          <w:lang w:val="sr-Cyrl-RS"/>
        </w:rPr>
        <w:t xml:space="preserve">епублике </w:t>
      </w:r>
      <w:r w:rsidRPr="00192893">
        <w:rPr>
          <w:rFonts w:eastAsia="Calibri"/>
          <w:sz w:val="24"/>
          <w:szCs w:val="24"/>
          <w:lang w:val="en-GB"/>
        </w:rPr>
        <w:t>С</w:t>
      </w:r>
      <w:r>
        <w:rPr>
          <w:rFonts w:eastAsia="Calibri"/>
          <w:sz w:val="24"/>
          <w:szCs w:val="24"/>
          <w:lang w:val="sr-Cyrl-RS"/>
        </w:rPr>
        <w:t xml:space="preserve">рбије“ </w:t>
      </w:r>
      <w:r w:rsidRPr="00192893">
        <w:rPr>
          <w:rFonts w:eastAsia="Calibri"/>
          <w:sz w:val="24"/>
          <w:szCs w:val="24"/>
          <w:lang w:val="en-GB"/>
        </w:rPr>
        <w:t>бр.</w:t>
      </w:r>
      <w:r>
        <w:rPr>
          <w:rFonts w:eastAsia="Calibri"/>
          <w:sz w:val="24"/>
          <w:szCs w:val="24"/>
          <w:lang w:val="sr-Cyrl-RS"/>
        </w:rPr>
        <w:t xml:space="preserve"> </w:t>
      </w:r>
      <w:r w:rsidRPr="00192893">
        <w:rPr>
          <w:rFonts w:eastAsia="Calibri"/>
          <w:sz w:val="24"/>
          <w:szCs w:val="24"/>
          <w:lang w:val="en-GB"/>
        </w:rPr>
        <w:t xml:space="preserve">129/07 и 83/2014 – др.закон, 101/2016 – др.закон, 47/2018 </w:t>
      </w:r>
      <w:r>
        <w:rPr>
          <w:rFonts w:eastAsia="Calibri"/>
          <w:sz w:val="24"/>
          <w:szCs w:val="24"/>
          <w:lang w:val="sr-Cyrl-RS"/>
        </w:rPr>
        <w:t>и</w:t>
      </w:r>
      <w:r w:rsidRPr="00192893">
        <w:rPr>
          <w:rFonts w:eastAsia="Calibri"/>
          <w:sz w:val="24"/>
          <w:szCs w:val="24"/>
          <w:lang w:val="en-GB"/>
        </w:rPr>
        <w:t xml:space="preserve"> 111/2021 – др.закон), члана 189.</w:t>
      </w:r>
      <w:r>
        <w:rPr>
          <w:rFonts w:eastAsia="Calibri"/>
          <w:sz w:val="24"/>
          <w:szCs w:val="24"/>
          <w:lang w:val="sr-Cyrl-RS"/>
        </w:rPr>
        <w:t xml:space="preserve"> </w:t>
      </w:r>
      <w:r w:rsidRPr="00192893">
        <w:rPr>
          <w:rFonts w:eastAsia="Calibri"/>
          <w:sz w:val="24"/>
          <w:szCs w:val="24"/>
          <w:lang w:val="en-GB"/>
        </w:rPr>
        <w:t xml:space="preserve">став 1. </w:t>
      </w:r>
      <w:r>
        <w:rPr>
          <w:rFonts w:eastAsia="Calibri"/>
          <w:sz w:val="24"/>
          <w:szCs w:val="24"/>
          <w:lang w:val="sr-Cyrl-RS"/>
        </w:rPr>
        <w:t>т</w:t>
      </w:r>
      <w:r w:rsidRPr="00192893">
        <w:rPr>
          <w:rFonts w:eastAsia="Calibri"/>
          <w:sz w:val="24"/>
          <w:szCs w:val="24"/>
          <w:lang w:val="en-GB"/>
        </w:rPr>
        <w:t>ачка 5. Закона о основама система образовања и васпитања (</w:t>
      </w:r>
      <w:r>
        <w:rPr>
          <w:rFonts w:eastAsia="Calibri"/>
          <w:sz w:val="24"/>
          <w:szCs w:val="24"/>
          <w:lang w:val="sr-Cyrl-RS"/>
        </w:rPr>
        <w:t>„</w:t>
      </w:r>
      <w:r w:rsidRPr="00192893">
        <w:rPr>
          <w:rFonts w:eastAsia="Calibri"/>
          <w:sz w:val="24"/>
          <w:szCs w:val="24"/>
          <w:lang w:val="en-GB"/>
        </w:rPr>
        <w:t>Сл.</w:t>
      </w:r>
      <w:r>
        <w:rPr>
          <w:rFonts w:eastAsia="Calibri"/>
          <w:sz w:val="24"/>
          <w:szCs w:val="24"/>
          <w:lang w:val="sr-Cyrl-RS"/>
        </w:rPr>
        <w:t xml:space="preserve"> </w:t>
      </w:r>
      <w:r w:rsidRPr="00192893">
        <w:rPr>
          <w:rFonts w:eastAsia="Calibri"/>
          <w:sz w:val="24"/>
          <w:szCs w:val="24"/>
          <w:lang w:val="en-GB"/>
        </w:rPr>
        <w:t>гл</w:t>
      </w:r>
      <w:r>
        <w:rPr>
          <w:rFonts w:eastAsia="Calibri"/>
          <w:sz w:val="24"/>
          <w:szCs w:val="24"/>
          <w:lang w:val="sr-Cyrl-RS"/>
        </w:rPr>
        <w:t>асник</w:t>
      </w:r>
      <w:r w:rsidRPr="00192893">
        <w:rPr>
          <w:rFonts w:eastAsia="Calibri"/>
          <w:sz w:val="24"/>
          <w:szCs w:val="24"/>
          <w:lang w:val="en-GB"/>
        </w:rPr>
        <w:t xml:space="preserve"> РС.</w:t>
      </w:r>
      <w:r>
        <w:rPr>
          <w:rFonts w:eastAsia="Calibri"/>
          <w:sz w:val="24"/>
          <w:szCs w:val="24"/>
          <w:lang w:val="en-GB"/>
        </w:rPr>
        <w:t xml:space="preserve"> ", </w:t>
      </w:r>
      <w:r>
        <w:rPr>
          <w:rFonts w:eastAsia="Calibri"/>
          <w:sz w:val="24"/>
          <w:szCs w:val="24"/>
          <w:lang w:val="sr-Cyrl-RS"/>
        </w:rPr>
        <w:t>бр</w:t>
      </w:r>
      <w:r w:rsidRPr="00192893">
        <w:rPr>
          <w:rFonts w:eastAsia="Calibri"/>
          <w:sz w:val="24"/>
          <w:szCs w:val="24"/>
          <w:lang w:val="en-GB"/>
        </w:rPr>
        <w:t>. 88/2017, 27/2018 – др.закон, 10/2019, 27/2018 – др.закон, 6/2020 и 129/2021</w:t>
      </w:r>
      <w:r>
        <w:rPr>
          <w:rFonts w:eastAsia="Calibri"/>
          <w:sz w:val="24"/>
          <w:szCs w:val="24"/>
          <w:lang w:val="en-GB"/>
        </w:rPr>
        <w:t xml:space="preserve">), </w:t>
      </w:r>
      <w:r>
        <w:rPr>
          <w:rFonts w:eastAsia="Calibri"/>
          <w:sz w:val="24"/>
          <w:szCs w:val="24"/>
          <w:lang w:val="sr-Cyrl-RS"/>
        </w:rPr>
        <w:t xml:space="preserve">члана 40. Статут општине Медвеђа („Службени гласник града Лесковац“, број 9/2019), </w:t>
      </w:r>
      <w:r>
        <w:rPr>
          <w:rFonts w:eastAsia="Calibri"/>
          <w:sz w:val="24"/>
          <w:szCs w:val="24"/>
          <w:lang w:val="sr-Cyrl-RS"/>
        </w:rPr>
        <w:t>С</w:t>
      </w:r>
      <w:r w:rsidRPr="00192893">
        <w:rPr>
          <w:rFonts w:eastAsia="Calibri"/>
          <w:sz w:val="24"/>
          <w:szCs w:val="24"/>
          <w:lang w:val="en-GB"/>
        </w:rPr>
        <w:t xml:space="preserve">купштина општине Медвеђа на седници одржаној дана </w:t>
      </w:r>
      <w:r>
        <w:rPr>
          <w:rFonts w:eastAsia="Calibri"/>
          <w:sz w:val="24"/>
          <w:szCs w:val="24"/>
          <w:lang w:val="sr-Cyrl-RS"/>
        </w:rPr>
        <w:t xml:space="preserve">20. децембра  2022. </w:t>
      </w:r>
      <w:r w:rsidRPr="00192893">
        <w:rPr>
          <w:rFonts w:eastAsia="Calibri"/>
          <w:sz w:val="24"/>
          <w:szCs w:val="24"/>
          <w:lang w:val="en-GB"/>
        </w:rPr>
        <w:t>године, дон</w:t>
      </w:r>
      <w:r>
        <w:rPr>
          <w:rFonts w:eastAsia="Calibri"/>
          <w:sz w:val="24"/>
          <w:szCs w:val="24"/>
          <w:lang w:val="sr-Cyrl-RS"/>
        </w:rPr>
        <w:t>о</w:t>
      </w:r>
      <w:r>
        <w:rPr>
          <w:rFonts w:eastAsia="Calibri"/>
          <w:sz w:val="24"/>
          <w:szCs w:val="24"/>
          <w:lang w:val="en-GB"/>
        </w:rPr>
        <w:t>с</w:t>
      </w:r>
      <w:r>
        <w:rPr>
          <w:rFonts w:eastAsia="Calibri"/>
          <w:sz w:val="24"/>
          <w:szCs w:val="24"/>
          <w:lang w:val="sr-Cyrl-RS"/>
        </w:rPr>
        <w:t>и</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ОДЛУКУ</w:t>
      </w: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О РЕГРЕСИРАЊУ ТРОШКОВА ПРЕВОЗА И СМЕШТАЈА</w:t>
      </w: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ДЕЦЕ И УЧЕНИКА</w:t>
      </w:r>
    </w:p>
    <w:p w:rsidR="00C15ED5" w:rsidRPr="00192893" w:rsidRDefault="00C15ED5" w:rsidP="00C15ED5">
      <w:pPr>
        <w:spacing w:before="0"/>
        <w:jc w:val="center"/>
        <w:rPr>
          <w:rFonts w:eastAsia="Calibri"/>
          <w:sz w:val="24"/>
          <w:szCs w:val="24"/>
          <w:lang w:val="en-GB"/>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I ОСНОВНЕ ОДРЕДБЕ</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Члан 1.</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left"/>
        <w:rPr>
          <w:rFonts w:eastAsia="Calibri"/>
          <w:sz w:val="24"/>
          <w:szCs w:val="24"/>
          <w:lang w:val="en-GB"/>
        </w:rPr>
      </w:pPr>
      <w:r w:rsidRPr="00192893">
        <w:rPr>
          <w:rFonts w:eastAsia="Calibri"/>
          <w:sz w:val="24"/>
          <w:szCs w:val="24"/>
          <w:lang w:val="en-GB"/>
        </w:rPr>
        <w:tab/>
        <w:t>Одлуком о регресирању трошкова превоза и смештаја деце и ученика (у даљем тексту: Одлука) уређују се услови и начин обезбеђивања:</w:t>
      </w:r>
    </w:p>
    <w:p w:rsidR="00C15ED5" w:rsidRPr="00192893" w:rsidRDefault="00C15ED5" w:rsidP="00C15ED5">
      <w:pPr>
        <w:spacing w:before="0"/>
        <w:jc w:val="left"/>
        <w:rPr>
          <w:rFonts w:eastAsia="Calibri"/>
          <w:sz w:val="24"/>
          <w:szCs w:val="24"/>
          <w:lang w:val="en-GB"/>
        </w:rPr>
      </w:pPr>
    </w:p>
    <w:p w:rsidR="00C15ED5" w:rsidRPr="00192893" w:rsidRDefault="00C15ED5" w:rsidP="00C15ED5">
      <w:pPr>
        <w:numPr>
          <w:ilvl w:val="0"/>
          <w:numId w:val="4"/>
        </w:numPr>
        <w:spacing w:before="0" w:after="160"/>
        <w:jc w:val="left"/>
        <w:rPr>
          <w:rFonts w:eastAsia="Calibri"/>
          <w:strike/>
          <w:sz w:val="24"/>
          <w:szCs w:val="24"/>
          <w:lang w:val="en-GB"/>
        </w:rPr>
      </w:pPr>
      <w:r w:rsidRPr="00192893">
        <w:rPr>
          <w:rFonts w:eastAsia="Calibri"/>
          <w:sz w:val="24"/>
          <w:szCs w:val="24"/>
          <w:lang w:val="en-GB"/>
        </w:rPr>
        <w:t>превоза деце и њихових пратилаца ради похађања припремног предшколског програма за удаљеност од места пребивалишта детета до седишта најближег издвојеног одељења Предшколске установе.</w:t>
      </w:r>
      <w:r w:rsidRPr="00192893">
        <w:rPr>
          <w:rFonts w:eastAsia="Calibri"/>
          <w:sz w:val="24"/>
          <w:szCs w:val="24"/>
          <w:u w:val="single"/>
          <w:lang w:val="en-GB"/>
        </w:rPr>
        <w:t xml:space="preserve"> </w:t>
      </w:r>
    </w:p>
    <w:p w:rsidR="00C15ED5" w:rsidRPr="00192893" w:rsidRDefault="00C15ED5" w:rsidP="00C15ED5">
      <w:pPr>
        <w:numPr>
          <w:ilvl w:val="0"/>
          <w:numId w:val="4"/>
        </w:numPr>
        <w:spacing w:before="0" w:after="160"/>
        <w:jc w:val="left"/>
        <w:rPr>
          <w:rFonts w:eastAsia="Calibri"/>
          <w:sz w:val="24"/>
          <w:szCs w:val="24"/>
          <w:lang w:val="en-GB"/>
        </w:rPr>
      </w:pPr>
      <w:r w:rsidRPr="00192893">
        <w:rPr>
          <w:rFonts w:eastAsia="Calibri"/>
          <w:sz w:val="24"/>
          <w:szCs w:val="24"/>
          <w:lang w:val="en-GB"/>
        </w:rPr>
        <w:t>превоза ученика основне школе за удаљеност од места пребивалишта ученика до седишта најближе школе, односно истуреног одељења.</w:t>
      </w:r>
    </w:p>
    <w:p w:rsidR="00C15ED5" w:rsidRPr="00192893" w:rsidRDefault="00C15ED5" w:rsidP="00C15ED5">
      <w:pPr>
        <w:numPr>
          <w:ilvl w:val="0"/>
          <w:numId w:val="4"/>
        </w:numPr>
        <w:spacing w:before="0" w:after="160"/>
        <w:jc w:val="left"/>
        <w:rPr>
          <w:rFonts w:eastAsia="Calibri"/>
          <w:sz w:val="24"/>
          <w:szCs w:val="24"/>
          <w:lang w:val="en-GB"/>
        </w:rPr>
      </w:pPr>
      <w:r w:rsidRPr="00192893">
        <w:rPr>
          <w:rFonts w:eastAsia="Calibri"/>
          <w:sz w:val="24"/>
          <w:szCs w:val="24"/>
          <w:lang w:val="en-GB"/>
        </w:rPr>
        <w:t xml:space="preserve"> превоза, смештаја и исхране деце и ученика са сметњама у развоју и инвалидитетом и њихових пратилаца, без обзира на удаљеност места становања од школе.</w:t>
      </w:r>
    </w:p>
    <w:p w:rsidR="00C15ED5" w:rsidRPr="00192893" w:rsidRDefault="00C15ED5" w:rsidP="00C15ED5">
      <w:pPr>
        <w:numPr>
          <w:ilvl w:val="0"/>
          <w:numId w:val="4"/>
        </w:numPr>
        <w:spacing w:before="0" w:after="160"/>
        <w:jc w:val="left"/>
        <w:rPr>
          <w:rFonts w:eastAsia="Calibri"/>
          <w:sz w:val="24"/>
          <w:szCs w:val="24"/>
          <w:lang w:val="en-GB"/>
        </w:rPr>
      </w:pPr>
      <w:r w:rsidRPr="00192893">
        <w:rPr>
          <w:rFonts w:eastAsia="Calibri"/>
          <w:sz w:val="24"/>
          <w:szCs w:val="24"/>
          <w:lang w:val="en-GB"/>
        </w:rPr>
        <w:t>превоза ученика на републичка и међународна такмичења која су предвиђена календаром такмичења и смотри утврђеним од стране ресорног министарства.</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Члан 2.</w:t>
      </w:r>
    </w:p>
    <w:p w:rsidR="00C15ED5" w:rsidRPr="00192893" w:rsidRDefault="00C15ED5" w:rsidP="00C15ED5">
      <w:pPr>
        <w:spacing w:before="0"/>
        <w:jc w:val="center"/>
        <w:rPr>
          <w:rFonts w:eastAsia="Calibri"/>
          <w:sz w:val="24"/>
          <w:szCs w:val="24"/>
          <w:lang w:val="en-GB"/>
        </w:rPr>
      </w:pP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Регресирање трошкова превоза подразумева регресирање трошкова месечне аутобуске карте преносом средстава превозницима у јавном превозу који су изабрани у поступку јавне набавке.</w:t>
      </w: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Изузетно, регресирани трошкови превоза за дете са сметњама у развоју и његовог пратиоца могу се исплатити у готовини, до висине месечне аутобуске карте, ако користе сопствени превоз у складу са Одлуком.</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Члан 3.</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 xml:space="preserve">Корисник права на регресирање трошкова превоза и смештаја је дете које похађа припремни предшколски програм , ученик и дете са сметњама у развоју и његов пратилац. </w:t>
      </w:r>
    </w:p>
    <w:p w:rsidR="00C15ED5" w:rsidRPr="00192893" w:rsidRDefault="00C15ED5" w:rsidP="00C15ED5">
      <w:pPr>
        <w:spacing w:before="0"/>
        <w:jc w:val="left"/>
        <w:rPr>
          <w:rFonts w:eastAsia="Calibri"/>
          <w:sz w:val="24"/>
          <w:szCs w:val="24"/>
          <w:lang w:val="en-GB"/>
        </w:rPr>
      </w:pPr>
      <w:r w:rsidRPr="00192893">
        <w:rPr>
          <w:rFonts w:eastAsia="Calibri"/>
          <w:sz w:val="24"/>
          <w:szCs w:val="24"/>
          <w:lang w:val="en-GB"/>
        </w:rPr>
        <w:lastRenderedPageBreak/>
        <w:tab/>
      </w: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Члан 4.</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Регресирање трошкова превоза и смештаја вршиће се од 01. септембра до краја наставне године.</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Члан 5.</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left"/>
        <w:rPr>
          <w:rFonts w:eastAsia="Calibri"/>
          <w:sz w:val="24"/>
          <w:szCs w:val="24"/>
          <w:lang w:val="en-GB"/>
        </w:rPr>
      </w:pPr>
      <w:r w:rsidRPr="00192893">
        <w:rPr>
          <w:rFonts w:eastAsia="Calibri"/>
          <w:sz w:val="24"/>
          <w:szCs w:val="24"/>
          <w:lang w:val="en-GB"/>
        </w:rPr>
        <w:tab/>
        <w:t xml:space="preserve">У буџету општине Медвеђа обезбеђују се средства из члана 1. Одлуке. </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Члан 6.</w:t>
      </w:r>
    </w:p>
    <w:p w:rsidR="00C15ED5" w:rsidRPr="00192893" w:rsidRDefault="00C15ED5" w:rsidP="00C15ED5">
      <w:pPr>
        <w:spacing w:before="0"/>
        <w:jc w:val="left"/>
        <w:rPr>
          <w:rFonts w:eastAsia="Calibri"/>
          <w:sz w:val="24"/>
          <w:szCs w:val="24"/>
          <w:lang w:val="en-GB"/>
        </w:rPr>
      </w:pPr>
      <w:r w:rsidRPr="00192893">
        <w:rPr>
          <w:rFonts w:eastAsia="Calibri"/>
          <w:sz w:val="24"/>
          <w:szCs w:val="24"/>
          <w:lang w:val="en-GB"/>
        </w:rPr>
        <w:tab/>
      </w: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Општинска управа закључује уговор са одговарајућом образовном установом  за смештај и исхрану ученика са сметњама у развоју и инвалидитетом.</w:t>
      </w:r>
    </w:p>
    <w:p w:rsidR="00C15ED5" w:rsidRPr="00192893" w:rsidRDefault="00C15ED5" w:rsidP="00C15ED5">
      <w:pPr>
        <w:spacing w:before="0"/>
        <w:rPr>
          <w:rFonts w:eastAsia="Calibri"/>
          <w:color w:val="FF0000"/>
          <w:sz w:val="24"/>
          <w:szCs w:val="24"/>
          <w:lang w:val="en-GB"/>
        </w:rPr>
      </w:pPr>
      <w:r w:rsidRPr="00192893">
        <w:rPr>
          <w:rFonts w:eastAsia="Calibri"/>
          <w:color w:val="FF0000"/>
          <w:sz w:val="24"/>
          <w:szCs w:val="24"/>
          <w:lang w:val="en-GB"/>
        </w:rPr>
        <w:tab/>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II. ПРАВА И ОБАВЕЗЕ</w:t>
      </w:r>
    </w:p>
    <w:p w:rsidR="00C15ED5" w:rsidRPr="00192893" w:rsidRDefault="00C15ED5" w:rsidP="00C15ED5">
      <w:pPr>
        <w:spacing w:before="0"/>
        <w:jc w:val="left"/>
        <w:rPr>
          <w:rFonts w:eastAsia="Calibri"/>
          <w:sz w:val="24"/>
          <w:szCs w:val="24"/>
          <w:lang w:val="en-GB"/>
        </w:rPr>
      </w:pPr>
      <w:r w:rsidRPr="00192893">
        <w:rPr>
          <w:rFonts w:eastAsia="Calibri"/>
          <w:sz w:val="24"/>
          <w:szCs w:val="24"/>
          <w:lang w:val="en-GB"/>
        </w:rPr>
        <w:tab/>
      </w: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Члан 7.</w:t>
      </w:r>
    </w:p>
    <w:p w:rsidR="00C15ED5" w:rsidRPr="00192893" w:rsidRDefault="00C15ED5" w:rsidP="00C15ED5">
      <w:pPr>
        <w:spacing w:before="0"/>
        <w:jc w:val="center"/>
        <w:rPr>
          <w:rFonts w:eastAsia="Calibri"/>
          <w:sz w:val="24"/>
          <w:szCs w:val="24"/>
          <w:lang w:val="en-GB"/>
        </w:rPr>
      </w:pPr>
    </w:p>
    <w:p w:rsidR="00C15ED5" w:rsidRPr="00192893" w:rsidRDefault="00C15ED5" w:rsidP="00C15ED5">
      <w:pPr>
        <w:spacing w:before="0"/>
        <w:ind w:firstLine="567"/>
        <w:jc w:val="left"/>
        <w:rPr>
          <w:rFonts w:eastAsia="Calibri"/>
          <w:sz w:val="24"/>
          <w:szCs w:val="24"/>
          <w:lang w:val="en-GB"/>
        </w:rPr>
      </w:pPr>
      <w:r w:rsidRPr="00192893">
        <w:rPr>
          <w:rFonts w:eastAsia="Calibri"/>
          <w:sz w:val="24"/>
          <w:szCs w:val="24"/>
          <w:lang w:val="en-GB"/>
        </w:rPr>
        <w:t>Право на регресирање трошкова превоза имају:</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left"/>
        <w:rPr>
          <w:rFonts w:eastAsia="Calibri"/>
          <w:sz w:val="24"/>
          <w:szCs w:val="24"/>
          <w:lang w:val="en-GB"/>
        </w:rPr>
      </w:pPr>
      <w:r w:rsidRPr="00192893">
        <w:rPr>
          <w:rFonts w:eastAsia="Calibri"/>
          <w:sz w:val="24"/>
          <w:szCs w:val="24"/>
          <w:lang w:val="en-GB"/>
        </w:rPr>
        <w:t>1. деца и њихови пратиоци ради похађања припремног предшколског програма за удаљеност од места пребивалишта детета до седишта најближег издвојеног одељења Предшколске установе,</w:t>
      </w:r>
    </w:p>
    <w:p w:rsidR="00C15ED5" w:rsidRPr="00192893" w:rsidRDefault="00C15ED5" w:rsidP="00C15ED5">
      <w:pPr>
        <w:spacing w:before="0"/>
        <w:jc w:val="left"/>
        <w:rPr>
          <w:rFonts w:eastAsia="Calibri"/>
          <w:sz w:val="24"/>
          <w:szCs w:val="24"/>
          <w:lang w:val="en-GB"/>
        </w:rPr>
      </w:pPr>
      <w:r w:rsidRPr="00192893">
        <w:rPr>
          <w:rFonts w:eastAsia="Calibri"/>
          <w:sz w:val="24"/>
          <w:szCs w:val="24"/>
          <w:lang w:val="en-GB"/>
        </w:rPr>
        <w:t>2. ученици основне школе за удаљеност од места пребивалишта ученика до седишта најближе школе, односно истуреног одељења.</w:t>
      </w:r>
    </w:p>
    <w:p w:rsidR="00C15ED5" w:rsidRPr="00192893" w:rsidRDefault="00C15ED5" w:rsidP="00C15ED5">
      <w:pPr>
        <w:spacing w:before="0"/>
        <w:jc w:val="left"/>
        <w:rPr>
          <w:rFonts w:eastAsia="Calibri"/>
          <w:sz w:val="24"/>
          <w:szCs w:val="24"/>
          <w:lang w:val="en-GB"/>
        </w:rPr>
      </w:pPr>
      <w:r w:rsidRPr="00192893">
        <w:rPr>
          <w:rFonts w:eastAsia="Calibri"/>
          <w:sz w:val="24"/>
          <w:szCs w:val="24"/>
          <w:lang w:val="en-GB"/>
        </w:rPr>
        <w:t xml:space="preserve">3. деца и ученици са сметњама у развоју и инвалидитетом и њихови пратиоци </w:t>
      </w:r>
    </w:p>
    <w:p w:rsidR="00C15ED5" w:rsidRPr="00192893" w:rsidRDefault="00C15ED5" w:rsidP="00C15ED5">
      <w:pPr>
        <w:spacing w:before="0"/>
        <w:jc w:val="left"/>
        <w:rPr>
          <w:rFonts w:eastAsia="Calibri"/>
          <w:sz w:val="24"/>
          <w:szCs w:val="24"/>
          <w:lang w:val="en-GB"/>
        </w:rPr>
      </w:pPr>
      <w:r w:rsidRPr="00192893">
        <w:rPr>
          <w:rFonts w:eastAsia="Calibri"/>
          <w:sz w:val="24"/>
          <w:szCs w:val="24"/>
          <w:lang w:val="en-GB"/>
        </w:rPr>
        <w:t>4. ученици са сметњама у развоју смештени у образовну установу са домом ученика и пратилац за викенд доласке.</w:t>
      </w:r>
    </w:p>
    <w:p w:rsidR="00C15ED5" w:rsidRPr="00192893" w:rsidRDefault="00C15ED5" w:rsidP="00C15ED5">
      <w:pPr>
        <w:spacing w:before="0"/>
        <w:jc w:val="left"/>
        <w:rPr>
          <w:rFonts w:eastAsia="Calibri"/>
          <w:sz w:val="24"/>
          <w:szCs w:val="24"/>
          <w:lang w:val="en-GB"/>
        </w:rPr>
      </w:pPr>
      <w:r w:rsidRPr="00192893">
        <w:rPr>
          <w:rFonts w:eastAsia="Calibri"/>
          <w:sz w:val="24"/>
          <w:szCs w:val="24"/>
          <w:lang w:val="en-GB"/>
        </w:rPr>
        <w:t>5. Ученици основне и средње школе ''Никола Тесла'' који учествују на такмичењима.</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Члан 8.</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Право на регресирање трошкова превоза у висини 100% цене месечне карте имају лица  из члана 1. Одлуке.</w:t>
      </w:r>
    </w:p>
    <w:p w:rsidR="00C15ED5" w:rsidRDefault="00C15ED5" w:rsidP="00C15ED5">
      <w:pPr>
        <w:spacing w:before="0"/>
        <w:jc w:val="left"/>
        <w:rPr>
          <w:rFonts w:eastAsia="Calibri"/>
          <w:sz w:val="24"/>
          <w:szCs w:val="24"/>
          <w:lang w:val="sr-Cyrl-RS"/>
        </w:rPr>
      </w:pPr>
    </w:p>
    <w:p w:rsidR="00C15ED5" w:rsidRDefault="00C15ED5" w:rsidP="00C15ED5">
      <w:pPr>
        <w:spacing w:before="0"/>
        <w:jc w:val="left"/>
        <w:rPr>
          <w:rFonts w:eastAsia="Calibri"/>
          <w:sz w:val="24"/>
          <w:szCs w:val="24"/>
          <w:lang w:val="sr-Cyrl-RS"/>
        </w:rPr>
      </w:pPr>
    </w:p>
    <w:p w:rsidR="00C15ED5" w:rsidRDefault="00C15ED5" w:rsidP="00C15ED5">
      <w:pPr>
        <w:spacing w:before="0"/>
        <w:jc w:val="left"/>
        <w:rPr>
          <w:rFonts w:eastAsia="Calibri"/>
          <w:sz w:val="24"/>
          <w:szCs w:val="24"/>
          <w:lang w:val="sr-Cyrl-RS"/>
        </w:rPr>
      </w:pPr>
    </w:p>
    <w:p w:rsidR="00C15ED5" w:rsidRDefault="00C15ED5" w:rsidP="00C15ED5">
      <w:pPr>
        <w:spacing w:before="0"/>
        <w:jc w:val="left"/>
        <w:rPr>
          <w:rFonts w:eastAsia="Calibri"/>
          <w:sz w:val="24"/>
          <w:szCs w:val="24"/>
          <w:lang w:val="sr-Cyrl-RS"/>
        </w:rPr>
      </w:pPr>
    </w:p>
    <w:p w:rsidR="00C15ED5" w:rsidRPr="00C15ED5" w:rsidRDefault="00C15ED5" w:rsidP="00C15ED5">
      <w:pPr>
        <w:spacing w:before="0"/>
        <w:jc w:val="left"/>
        <w:rPr>
          <w:rFonts w:eastAsia="Calibri"/>
          <w:sz w:val="24"/>
          <w:szCs w:val="24"/>
          <w:lang w:val="sr-Cyrl-RS"/>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lastRenderedPageBreak/>
        <w:t>Члан 9.</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Право на регресирање трошкова превоза имају деца са сметњама у развоју и инвалидитетом којима је, према мишљењу Интерресорне комисије за процену додатне образовне, здравствене и социјалне подршке деци и ученицима потребна помоћ.</w:t>
      </w: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Зависно од броја дана похађања школе, уз потврду стручног радника, признаваће се трошкови у висини месечне карте или из разлога економичности  у висини броја долазака у установу.</w:t>
      </w: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Право на регресирање трошкова превоза под истим условима има и родитељ, односно старатељ или хранитељ, детета као пратилац, ако је пратња неопходна.</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Члан 10.</w:t>
      </w:r>
    </w:p>
    <w:p w:rsidR="00C15ED5" w:rsidRPr="00192893" w:rsidRDefault="00C15ED5" w:rsidP="00C15ED5">
      <w:pPr>
        <w:spacing w:before="0"/>
        <w:jc w:val="left"/>
        <w:rPr>
          <w:rFonts w:eastAsia="Calibri"/>
          <w:sz w:val="24"/>
          <w:szCs w:val="24"/>
          <w:lang w:val="en-GB"/>
        </w:rPr>
      </w:pPr>
      <w:r w:rsidRPr="00192893">
        <w:rPr>
          <w:rFonts w:eastAsia="Calibri"/>
          <w:sz w:val="24"/>
          <w:szCs w:val="24"/>
          <w:lang w:val="en-GB"/>
        </w:rPr>
        <w:tab/>
      </w: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Право на регресирање трошкова превоза из члана 9. остварује се на захтев корисника или његовог родитеља (старатеља), ако је корисник малолетан.</w:t>
      </w: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Исправе које подноси странка или прибавља орган који води поступак су:</w:t>
      </w:r>
    </w:p>
    <w:p w:rsidR="00C15ED5" w:rsidRPr="00192893" w:rsidRDefault="00C15ED5" w:rsidP="00C15ED5">
      <w:pPr>
        <w:numPr>
          <w:ilvl w:val="0"/>
          <w:numId w:val="5"/>
        </w:numPr>
        <w:spacing w:before="0" w:after="160"/>
        <w:jc w:val="left"/>
        <w:rPr>
          <w:rFonts w:eastAsia="Calibri"/>
          <w:sz w:val="24"/>
          <w:szCs w:val="24"/>
          <w:lang w:val="en-GB"/>
        </w:rPr>
      </w:pPr>
      <w:r w:rsidRPr="00192893">
        <w:rPr>
          <w:rFonts w:eastAsia="Calibri"/>
          <w:sz w:val="24"/>
          <w:szCs w:val="24"/>
          <w:lang w:val="en-GB"/>
        </w:rPr>
        <w:t>фотокопија личне карте као доказ о пребивалишту за корисника односно за једног родитеља, ако је корисник малолетан,</w:t>
      </w:r>
    </w:p>
    <w:p w:rsidR="00C15ED5" w:rsidRPr="00192893" w:rsidRDefault="00C15ED5" w:rsidP="00C15ED5">
      <w:pPr>
        <w:numPr>
          <w:ilvl w:val="0"/>
          <w:numId w:val="5"/>
        </w:numPr>
        <w:spacing w:before="0" w:after="160"/>
        <w:jc w:val="left"/>
        <w:rPr>
          <w:rFonts w:eastAsia="Calibri"/>
          <w:sz w:val="24"/>
          <w:szCs w:val="24"/>
          <w:lang w:val="en-GB"/>
        </w:rPr>
      </w:pPr>
      <w:r w:rsidRPr="00192893">
        <w:rPr>
          <w:rFonts w:eastAsia="Calibri"/>
          <w:sz w:val="24"/>
          <w:szCs w:val="24"/>
          <w:lang w:val="en-GB"/>
        </w:rPr>
        <w:t>потврда да је корисник уписан у предшколску установу или основну школу,</w:t>
      </w:r>
    </w:p>
    <w:p w:rsidR="00C15ED5" w:rsidRPr="00192893" w:rsidRDefault="00C15ED5" w:rsidP="00C15ED5">
      <w:pPr>
        <w:numPr>
          <w:ilvl w:val="0"/>
          <w:numId w:val="5"/>
        </w:numPr>
        <w:spacing w:before="0" w:after="160"/>
        <w:jc w:val="left"/>
        <w:rPr>
          <w:rFonts w:eastAsia="Calibri"/>
          <w:sz w:val="24"/>
          <w:szCs w:val="24"/>
          <w:lang w:val="en-GB"/>
        </w:rPr>
      </w:pPr>
      <w:r w:rsidRPr="00192893">
        <w:rPr>
          <w:rFonts w:eastAsia="Calibri"/>
          <w:sz w:val="24"/>
          <w:szCs w:val="24"/>
          <w:lang w:val="en-GB"/>
        </w:rPr>
        <w:t>мишљење Интерресорне комисије за процену додатне образовне, здравствене и социјалне подршке деци и ученицима.</w:t>
      </w:r>
    </w:p>
    <w:p w:rsidR="00C15ED5" w:rsidRPr="00192893" w:rsidRDefault="00C15ED5" w:rsidP="00C15ED5">
      <w:pPr>
        <w:spacing w:before="0"/>
        <w:rPr>
          <w:rFonts w:eastAsia="Calibri"/>
          <w:sz w:val="24"/>
          <w:szCs w:val="24"/>
          <w:lang w:val="en-GB"/>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Члан 11.</w:t>
      </w:r>
    </w:p>
    <w:p w:rsidR="00C15ED5" w:rsidRPr="00192893" w:rsidRDefault="00C15ED5" w:rsidP="00C15ED5">
      <w:pPr>
        <w:spacing w:before="0"/>
        <w:jc w:val="left"/>
        <w:rPr>
          <w:rFonts w:eastAsia="Calibri"/>
          <w:sz w:val="24"/>
          <w:szCs w:val="24"/>
          <w:lang w:val="en-GB"/>
        </w:rPr>
      </w:pPr>
      <w:r w:rsidRPr="00192893">
        <w:rPr>
          <w:rFonts w:eastAsia="Calibri"/>
          <w:sz w:val="24"/>
          <w:szCs w:val="24"/>
          <w:lang w:val="en-GB"/>
        </w:rPr>
        <w:tab/>
      </w: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О праву из члана 9. Одлуке одлучује Одељење за општу управу решењем на основу Закона о општем управном поступку.</w:t>
      </w: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Корисник је дужан да пријави сваку промену која је од утицаја на признато право у року 15 дана од дана настанка промене.</w:t>
      </w: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Када надлежна служба утврди да је на основу неистинитих или натачних података корисник остварио право, односно непријављивањем промена које утичу на губитак или обим права, донеће решење којим ће укинути право на регресирање трошкова превоза од наредног месеца за текућу школску годину.</w:t>
      </w:r>
    </w:p>
    <w:p w:rsidR="00C15ED5" w:rsidRPr="00192893" w:rsidRDefault="00C15ED5" w:rsidP="00C15ED5">
      <w:pPr>
        <w:spacing w:before="0"/>
        <w:jc w:val="left"/>
        <w:rPr>
          <w:rFonts w:eastAsia="Calibri"/>
          <w:sz w:val="24"/>
          <w:szCs w:val="24"/>
          <w:lang w:val="en-GB"/>
        </w:rPr>
      </w:pPr>
      <w:r w:rsidRPr="00192893">
        <w:rPr>
          <w:rFonts w:eastAsia="Calibri"/>
          <w:sz w:val="24"/>
          <w:szCs w:val="24"/>
          <w:lang w:val="en-GB"/>
        </w:rPr>
        <w:tab/>
      </w: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Члан 12.</w:t>
      </w:r>
    </w:p>
    <w:p w:rsidR="00C15ED5" w:rsidRPr="00192893" w:rsidRDefault="00C15ED5" w:rsidP="00C15ED5">
      <w:pPr>
        <w:spacing w:before="0"/>
        <w:jc w:val="center"/>
        <w:rPr>
          <w:rFonts w:eastAsia="Calibri"/>
          <w:sz w:val="24"/>
          <w:szCs w:val="24"/>
          <w:lang w:val="en-GB"/>
        </w:rPr>
      </w:pP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Право на регресирање трошкова превоза из члана 8.остварује се након доставе спискова ученика које су доставиле основне школе са подацима о релацијама путовања и списка који је доставила Предшколска установа.</w:t>
      </w: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Општинска управа обједињени списак деце и ученика са релацијама доставља одабраном аутопревознику .</w:t>
      </w:r>
    </w:p>
    <w:p w:rsidR="00C15ED5" w:rsidRDefault="00C15ED5" w:rsidP="00C15ED5">
      <w:pPr>
        <w:spacing w:before="0"/>
        <w:jc w:val="left"/>
        <w:rPr>
          <w:rFonts w:eastAsia="Calibri"/>
          <w:sz w:val="24"/>
          <w:szCs w:val="24"/>
          <w:lang w:val="sr-Cyrl-RS"/>
        </w:rPr>
      </w:pPr>
      <w:r w:rsidRPr="00192893">
        <w:rPr>
          <w:rFonts w:eastAsia="Calibri"/>
          <w:sz w:val="24"/>
          <w:szCs w:val="24"/>
          <w:lang w:val="en-GB"/>
        </w:rPr>
        <w:tab/>
      </w:r>
    </w:p>
    <w:p w:rsidR="00C15ED5" w:rsidRPr="00C15ED5" w:rsidRDefault="00C15ED5" w:rsidP="00C15ED5">
      <w:pPr>
        <w:spacing w:before="0"/>
        <w:jc w:val="left"/>
        <w:rPr>
          <w:rFonts w:eastAsia="Calibri"/>
          <w:sz w:val="24"/>
          <w:szCs w:val="24"/>
          <w:lang w:val="sr-Cyrl-RS"/>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lastRenderedPageBreak/>
        <w:t>Члан 13.</w:t>
      </w:r>
    </w:p>
    <w:p w:rsidR="00C15ED5" w:rsidRPr="00192893" w:rsidRDefault="00C15ED5" w:rsidP="00C15ED5">
      <w:pPr>
        <w:spacing w:before="0"/>
        <w:jc w:val="left"/>
        <w:rPr>
          <w:rFonts w:eastAsia="Calibri"/>
          <w:b/>
          <w:sz w:val="24"/>
          <w:szCs w:val="24"/>
          <w:lang w:val="en-GB"/>
        </w:rPr>
      </w:pPr>
      <w:r w:rsidRPr="00192893">
        <w:rPr>
          <w:rFonts w:eastAsia="Calibri"/>
          <w:b/>
          <w:sz w:val="24"/>
          <w:szCs w:val="24"/>
          <w:lang w:val="en-GB"/>
        </w:rPr>
        <w:tab/>
      </w: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Право на регресирање трошкова превоза у висини 100% цене аутобуске карте имају ученици основне школе са територије општине Медвеђа и техничке школе ''Никола Тесла'' који учествују на окружна, републичка и међународна такмичења, које је предвиђено календаром такмичења и смотри утврђеним од стране ресорног министарства.</w:t>
      </w:r>
    </w:p>
    <w:p w:rsidR="00C15ED5" w:rsidRPr="00192893" w:rsidRDefault="00C15ED5" w:rsidP="00C15ED5">
      <w:pPr>
        <w:spacing w:before="0"/>
        <w:jc w:val="left"/>
        <w:rPr>
          <w:rFonts w:eastAsia="Calibri"/>
          <w:sz w:val="24"/>
          <w:szCs w:val="24"/>
          <w:lang w:val="en-GB"/>
        </w:rPr>
      </w:pPr>
      <w:r w:rsidRPr="00192893">
        <w:rPr>
          <w:rFonts w:eastAsia="Calibri"/>
          <w:sz w:val="24"/>
          <w:szCs w:val="24"/>
          <w:lang w:val="en-GB"/>
        </w:rPr>
        <w:tab/>
      </w:r>
      <w:r w:rsidRPr="00192893">
        <w:rPr>
          <w:rFonts w:eastAsia="Calibri"/>
          <w:sz w:val="24"/>
          <w:szCs w:val="24"/>
          <w:lang w:val="en-GB"/>
        </w:rPr>
        <w:tab/>
      </w: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Члан 14.</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Ради остваривања право на регресирање трошкова превоза ученика на такмичења или вршење услуге превоза школа доставља Одељењу за општу управу уз захтев фотокопију календара такмичења, са назначеним такмичењем на ком ученик учествује (датум, место и школа у којој се одржава такмичење и време одржавања такмичења), списак ученика који учествују на такмичењу и другу неопходну документацију и рачуноводствене исправе у складу са законом.</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Члан 15.</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О праву на регресирање трошкова превоза у првом степену решава надлежна служба Општинске управе.</w:t>
      </w: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По жалбама на првостепено решења у другом степену решава Општинско веће.</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III. ПРЕЛАЗНЕ И ЗАВРШНЕ ОДРЕДБЕ</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Члан 16.</w:t>
      </w:r>
    </w:p>
    <w:p w:rsidR="00C15ED5" w:rsidRPr="00192893" w:rsidRDefault="00C15ED5" w:rsidP="00C15ED5">
      <w:pPr>
        <w:spacing w:before="0"/>
        <w:jc w:val="left"/>
        <w:rPr>
          <w:rFonts w:eastAsia="Calibri"/>
          <w:sz w:val="24"/>
          <w:szCs w:val="24"/>
          <w:lang w:val="en-GB"/>
        </w:rPr>
      </w:pPr>
      <w:r w:rsidRPr="00192893">
        <w:rPr>
          <w:rFonts w:eastAsia="Calibri"/>
          <w:sz w:val="24"/>
          <w:szCs w:val="24"/>
          <w:lang w:val="en-GB"/>
        </w:rPr>
        <w:tab/>
      </w: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 xml:space="preserve">Даном ступања на снагу ове одлуке престаје да важи Одлука о регресирању трошкова превоза ("Службени гласник града Лесковца" број 37 /2016). </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jc w:val="center"/>
        <w:rPr>
          <w:rFonts w:eastAsia="Calibri"/>
          <w:sz w:val="24"/>
          <w:szCs w:val="24"/>
          <w:lang w:val="en-GB"/>
        </w:rPr>
      </w:pPr>
      <w:r w:rsidRPr="00192893">
        <w:rPr>
          <w:rFonts w:eastAsia="Calibri"/>
          <w:sz w:val="24"/>
          <w:szCs w:val="24"/>
          <w:lang w:val="en-GB"/>
        </w:rPr>
        <w:t>Члан 17.</w:t>
      </w:r>
    </w:p>
    <w:p w:rsidR="00C15ED5" w:rsidRPr="00192893" w:rsidRDefault="00C15ED5" w:rsidP="00C15ED5">
      <w:pPr>
        <w:spacing w:before="0"/>
        <w:jc w:val="left"/>
        <w:rPr>
          <w:rFonts w:eastAsia="Calibri"/>
          <w:sz w:val="24"/>
          <w:szCs w:val="24"/>
          <w:lang w:val="en-GB"/>
        </w:rPr>
      </w:pPr>
    </w:p>
    <w:p w:rsidR="00C15ED5" w:rsidRPr="00192893" w:rsidRDefault="00C15ED5" w:rsidP="00C15ED5">
      <w:pPr>
        <w:spacing w:before="0"/>
        <w:rPr>
          <w:rFonts w:eastAsia="Calibri"/>
          <w:sz w:val="24"/>
          <w:szCs w:val="24"/>
          <w:lang w:val="en-GB"/>
        </w:rPr>
      </w:pPr>
      <w:r w:rsidRPr="00192893">
        <w:rPr>
          <w:rFonts w:eastAsia="Calibri"/>
          <w:sz w:val="24"/>
          <w:szCs w:val="24"/>
          <w:lang w:val="en-GB"/>
        </w:rPr>
        <w:tab/>
        <w:t>Ова одлука ступа на снагу наредног дана од дана објављивања у ''Службеном гласнику града Лесковца''.</w:t>
      </w:r>
    </w:p>
    <w:p w:rsidR="00C15ED5" w:rsidRPr="00505334" w:rsidRDefault="00C15ED5" w:rsidP="00C15ED5">
      <w:pPr>
        <w:spacing w:before="0"/>
        <w:rPr>
          <w:sz w:val="24"/>
          <w:szCs w:val="24"/>
          <w:lang w:val="sr-Cyrl-RS"/>
        </w:rPr>
      </w:pPr>
    </w:p>
    <w:p w:rsidR="00840FD0" w:rsidRPr="00C15ED5" w:rsidRDefault="00840FD0" w:rsidP="00C15ED5">
      <w:pPr>
        <w:tabs>
          <w:tab w:val="left" w:pos="7856"/>
        </w:tabs>
        <w:ind w:firstLine="708"/>
        <w:rPr>
          <w:lang w:val="sr-Cyrl-CS"/>
        </w:rPr>
      </w:pPr>
    </w:p>
    <w:p w:rsidR="00840FD0" w:rsidRPr="001B7EC7" w:rsidRDefault="00840FD0" w:rsidP="00840FD0">
      <w:pPr>
        <w:tabs>
          <w:tab w:val="center" w:pos="-142"/>
          <w:tab w:val="left" w:pos="709"/>
        </w:tabs>
        <w:suppressAutoHyphens/>
        <w:spacing w:before="80" w:after="0" w:line="264" w:lineRule="auto"/>
        <w:ind w:left="720"/>
        <w:rPr>
          <w:sz w:val="24"/>
          <w:szCs w:val="24"/>
          <w:lang w:val="sr-Cyrl-RS" w:eastAsia="ar-SA"/>
        </w:rPr>
      </w:pPr>
      <w:r w:rsidRPr="001B7EC7">
        <w:rPr>
          <w:sz w:val="24"/>
          <w:szCs w:val="24"/>
          <w:lang w:val="sr-Cyrl-CS" w:eastAsia="ar-SA"/>
        </w:rPr>
        <w:t>06Број:06-</w:t>
      </w:r>
      <w:r w:rsidR="001F4DC6">
        <w:rPr>
          <w:sz w:val="24"/>
          <w:szCs w:val="24"/>
          <w:lang w:val="sr-Cyrl-RS" w:eastAsia="ar-SA"/>
        </w:rPr>
        <w:t>6</w:t>
      </w:r>
      <w:r w:rsidR="00C15ED5">
        <w:rPr>
          <w:sz w:val="24"/>
          <w:szCs w:val="24"/>
          <w:lang w:val="sr-Cyrl-RS" w:eastAsia="ar-SA"/>
        </w:rPr>
        <w:t>8</w:t>
      </w:r>
      <w:r w:rsidRPr="001B7EC7">
        <w:rPr>
          <w:sz w:val="24"/>
          <w:szCs w:val="24"/>
          <w:lang w:val="sr-Cyrl-CS" w:eastAsia="ar-SA"/>
        </w:rPr>
        <w:t>/202</w:t>
      </w:r>
      <w:r w:rsidRPr="001B7EC7">
        <w:rPr>
          <w:sz w:val="24"/>
          <w:szCs w:val="24"/>
          <w:lang w:val="sr-Latn-RS" w:eastAsia="ar-SA"/>
        </w:rPr>
        <w:t>2</w:t>
      </w:r>
      <w:r>
        <w:rPr>
          <w:sz w:val="24"/>
          <w:szCs w:val="24"/>
          <w:lang w:val="sr-Cyrl-RS" w:eastAsia="ar-SA"/>
        </w:rPr>
        <w:t>/</w:t>
      </w:r>
      <w:r w:rsidR="00C15ED5">
        <w:rPr>
          <w:sz w:val="24"/>
          <w:szCs w:val="24"/>
          <w:lang w:val="sr-Cyrl-RS" w:eastAsia="ar-SA"/>
        </w:rPr>
        <w:t>8</w:t>
      </w:r>
    </w:p>
    <w:p w:rsidR="00840FD0" w:rsidRPr="001B7EC7" w:rsidRDefault="00C15ED5" w:rsidP="00840FD0">
      <w:pPr>
        <w:tabs>
          <w:tab w:val="center" w:pos="-142"/>
          <w:tab w:val="left" w:pos="709"/>
        </w:tabs>
        <w:suppressAutoHyphens/>
        <w:spacing w:before="80" w:after="0" w:line="264" w:lineRule="auto"/>
        <w:ind w:left="720"/>
        <w:rPr>
          <w:sz w:val="24"/>
          <w:szCs w:val="24"/>
          <w:lang w:val="sr-Cyrl-CS" w:eastAsia="ar-SA"/>
        </w:rPr>
      </w:pPr>
      <w:r>
        <w:rPr>
          <w:sz w:val="24"/>
          <w:szCs w:val="24"/>
          <w:lang w:val="sr-Cyrl-RS" w:eastAsia="ar-SA"/>
        </w:rPr>
        <w:t>20</w:t>
      </w:r>
      <w:r w:rsidR="001F4DC6">
        <w:rPr>
          <w:sz w:val="24"/>
          <w:szCs w:val="24"/>
          <w:lang w:val="sr-Cyrl-RS" w:eastAsia="ar-SA"/>
        </w:rPr>
        <w:t xml:space="preserve">. </w:t>
      </w:r>
      <w:r>
        <w:rPr>
          <w:sz w:val="24"/>
          <w:szCs w:val="24"/>
          <w:lang w:val="sr-Cyrl-RS" w:eastAsia="ar-SA"/>
        </w:rPr>
        <w:t>деце</w:t>
      </w:r>
      <w:bookmarkStart w:id="0" w:name="_GoBack"/>
      <w:bookmarkEnd w:id="0"/>
      <w:r w:rsidR="001F4DC6">
        <w:rPr>
          <w:sz w:val="24"/>
          <w:szCs w:val="24"/>
          <w:lang w:val="sr-Cyrl-RS" w:eastAsia="ar-SA"/>
        </w:rPr>
        <w:t>мбар</w:t>
      </w:r>
      <w:r w:rsidR="00840FD0" w:rsidRPr="001B7EC7">
        <w:rPr>
          <w:sz w:val="24"/>
          <w:szCs w:val="24"/>
          <w:lang w:val="sr-Cyrl-RS" w:eastAsia="ar-SA"/>
        </w:rPr>
        <w:t xml:space="preserve"> 2022</w:t>
      </w:r>
      <w:r w:rsidR="00840FD0" w:rsidRPr="001B7EC7">
        <w:rPr>
          <w:sz w:val="24"/>
          <w:szCs w:val="24"/>
          <w:lang w:val="sr-Cyrl-CS" w:eastAsia="ar-SA"/>
        </w:rPr>
        <w:t>. године</w:t>
      </w:r>
    </w:p>
    <w:p w:rsidR="00840FD0" w:rsidRPr="001B7EC7" w:rsidRDefault="00840FD0" w:rsidP="00840FD0">
      <w:pPr>
        <w:tabs>
          <w:tab w:val="center" w:pos="-142"/>
          <w:tab w:val="left" w:pos="709"/>
        </w:tabs>
        <w:suppressAutoHyphens/>
        <w:spacing w:before="80" w:after="0" w:line="264" w:lineRule="auto"/>
        <w:ind w:left="720"/>
        <w:rPr>
          <w:sz w:val="24"/>
          <w:szCs w:val="24"/>
          <w:lang w:val="sr-Cyrl-CS" w:eastAsia="ar-SA"/>
        </w:rPr>
      </w:pPr>
      <w:r w:rsidRPr="001B7EC7">
        <w:rPr>
          <w:sz w:val="24"/>
          <w:szCs w:val="24"/>
          <w:lang w:val="sr-Cyrl-CS" w:eastAsia="ar-SA"/>
        </w:rPr>
        <w:t>М е д в е ђ а</w:t>
      </w:r>
    </w:p>
    <w:p w:rsidR="00840FD0" w:rsidRPr="001B7EC7" w:rsidRDefault="00840FD0" w:rsidP="00840FD0">
      <w:pPr>
        <w:tabs>
          <w:tab w:val="center" w:pos="-142"/>
          <w:tab w:val="left" w:pos="709"/>
        </w:tabs>
        <w:suppressAutoHyphens/>
        <w:spacing w:before="80" w:after="0" w:line="264" w:lineRule="auto"/>
        <w:ind w:left="720"/>
        <w:rPr>
          <w:sz w:val="24"/>
          <w:szCs w:val="24"/>
          <w:lang w:val="sr-Cyrl-CS" w:eastAsia="ar-SA"/>
        </w:rPr>
      </w:pPr>
      <w:r w:rsidRPr="001B7EC7">
        <w:rPr>
          <w:sz w:val="24"/>
          <w:szCs w:val="24"/>
          <w:lang w:val="sr-Cyrl-CS" w:eastAsia="ar-SA"/>
        </w:rPr>
        <w:t xml:space="preserve">                                                                                                      ПРЕДСЕДНИК,</w:t>
      </w:r>
    </w:p>
    <w:p w:rsidR="00840FD0" w:rsidRPr="001B7EC7" w:rsidRDefault="00840FD0" w:rsidP="00840FD0">
      <w:pPr>
        <w:tabs>
          <w:tab w:val="center" w:pos="-142"/>
          <w:tab w:val="left" w:pos="709"/>
          <w:tab w:val="left" w:pos="6300"/>
        </w:tabs>
        <w:suppressAutoHyphens/>
        <w:spacing w:before="80" w:after="0" w:line="264" w:lineRule="auto"/>
        <w:ind w:firstLine="720"/>
        <w:rPr>
          <w:sz w:val="24"/>
          <w:szCs w:val="24"/>
          <w:lang w:val="sr-Cyrl-CS" w:eastAsia="ar-SA"/>
        </w:rPr>
      </w:pPr>
      <w:r>
        <w:rPr>
          <w:sz w:val="24"/>
          <w:szCs w:val="24"/>
          <w:lang w:val="sr-Cyrl-CS" w:eastAsia="ar-SA"/>
        </w:rPr>
        <w:t xml:space="preserve">                                                                                  Станко Милошевић, дипл. правник</w:t>
      </w:r>
    </w:p>
    <w:p w:rsidR="00840FD0" w:rsidRPr="001B7EC7" w:rsidRDefault="00840FD0" w:rsidP="00840FD0">
      <w:pPr>
        <w:tabs>
          <w:tab w:val="center" w:pos="-142"/>
          <w:tab w:val="left" w:pos="709"/>
          <w:tab w:val="left" w:pos="6015"/>
        </w:tabs>
        <w:suppressAutoHyphens/>
        <w:spacing w:before="80" w:after="0" w:line="264" w:lineRule="auto"/>
        <w:ind w:left="720"/>
        <w:rPr>
          <w:sz w:val="24"/>
          <w:szCs w:val="24"/>
          <w:lang w:val="sr-Cyrl-CS" w:eastAsia="ar-SA"/>
        </w:rPr>
      </w:pPr>
      <w:r w:rsidRPr="001B7EC7">
        <w:rPr>
          <w:sz w:val="24"/>
          <w:szCs w:val="24"/>
          <w:lang w:val="sr-Cyrl-CS" w:eastAsia="ar-SA"/>
        </w:rPr>
        <w:lastRenderedPageBreak/>
        <w:t>.</w:t>
      </w:r>
    </w:p>
    <w:p w:rsidR="00840FD0" w:rsidRDefault="00840FD0" w:rsidP="00840FD0">
      <w:pPr>
        <w:tabs>
          <w:tab w:val="center" w:pos="-142"/>
          <w:tab w:val="left" w:pos="709"/>
        </w:tabs>
        <w:suppressAutoHyphens/>
        <w:spacing w:before="80" w:after="0" w:line="264" w:lineRule="auto"/>
        <w:ind w:left="720"/>
        <w:rPr>
          <w:sz w:val="24"/>
          <w:szCs w:val="24"/>
          <w:lang w:val="sr-Cyrl-CS" w:eastAsia="ar-SA"/>
        </w:rPr>
      </w:pPr>
    </w:p>
    <w:p w:rsidR="00840FD0" w:rsidRPr="00840FD0" w:rsidRDefault="00840FD0" w:rsidP="00840FD0">
      <w:pPr>
        <w:tabs>
          <w:tab w:val="center" w:pos="-142"/>
          <w:tab w:val="left" w:pos="709"/>
        </w:tabs>
        <w:suppressAutoHyphens/>
        <w:spacing w:before="80" w:after="0" w:line="264" w:lineRule="auto"/>
        <w:rPr>
          <w:sz w:val="24"/>
          <w:szCs w:val="24"/>
          <w:lang w:val="sr-Cyrl-CS" w:eastAsia="ar-SA"/>
        </w:rPr>
      </w:pPr>
    </w:p>
    <w:p w:rsidR="00840FD0" w:rsidRPr="00840FD0" w:rsidRDefault="00840FD0" w:rsidP="00840FD0">
      <w:pPr>
        <w:tabs>
          <w:tab w:val="center" w:pos="-142"/>
          <w:tab w:val="left" w:pos="709"/>
        </w:tabs>
        <w:suppressAutoHyphens/>
        <w:spacing w:before="80" w:after="0" w:line="264" w:lineRule="auto"/>
        <w:rPr>
          <w:sz w:val="24"/>
          <w:szCs w:val="24"/>
          <w:lang w:val="sr-Cyrl-CS" w:eastAsia="ar-SA"/>
        </w:rPr>
      </w:pPr>
    </w:p>
    <w:p w:rsidR="00840FD0" w:rsidRPr="00840FD0" w:rsidRDefault="00840FD0" w:rsidP="00840FD0">
      <w:pPr>
        <w:tabs>
          <w:tab w:val="center" w:pos="-142"/>
          <w:tab w:val="left" w:pos="709"/>
        </w:tabs>
        <w:suppressAutoHyphens/>
        <w:spacing w:before="80" w:after="0" w:line="264" w:lineRule="auto"/>
        <w:rPr>
          <w:sz w:val="24"/>
          <w:szCs w:val="24"/>
          <w:lang w:val="sr-Cyrl-CS" w:eastAsia="ar-SA"/>
        </w:rPr>
      </w:pPr>
    </w:p>
    <w:p w:rsidR="00840FD0" w:rsidRPr="00840FD0" w:rsidRDefault="00840FD0" w:rsidP="00840FD0">
      <w:pPr>
        <w:tabs>
          <w:tab w:val="center" w:pos="-142"/>
          <w:tab w:val="left" w:pos="709"/>
        </w:tabs>
        <w:suppressAutoHyphens/>
        <w:spacing w:before="80" w:after="0" w:line="264" w:lineRule="auto"/>
        <w:rPr>
          <w:sz w:val="24"/>
          <w:szCs w:val="24"/>
          <w:lang w:val="sr-Cyrl-CS" w:eastAsia="ar-SA"/>
        </w:rPr>
      </w:pPr>
    </w:p>
    <w:p w:rsidR="00840FD0" w:rsidRPr="00840FD0" w:rsidRDefault="00840FD0" w:rsidP="00840FD0">
      <w:pPr>
        <w:tabs>
          <w:tab w:val="center" w:pos="-142"/>
          <w:tab w:val="left" w:pos="709"/>
        </w:tabs>
        <w:suppressAutoHyphens/>
        <w:spacing w:before="80" w:after="0" w:line="264" w:lineRule="auto"/>
        <w:ind w:firstLine="720"/>
        <w:rPr>
          <w:sz w:val="24"/>
          <w:szCs w:val="24"/>
          <w:lang w:val="sr-Cyrl-CS" w:eastAsia="ar-SA"/>
        </w:rPr>
      </w:pPr>
    </w:p>
    <w:p w:rsidR="00840FD0" w:rsidRPr="00840FD0" w:rsidRDefault="00840FD0" w:rsidP="00840FD0">
      <w:pPr>
        <w:spacing w:before="0" w:after="200" w:line="276" w:lineRule="auto"/>
        <w:jc w:val="left"/>
        <w:rPr>
          <w:rFonts w:asciiTheme="minorHAnsi" w:eastAsiaTheme="minorHAnsi" w:hAnsiTheme="minorHAnsi" w:cstheme="minorBidi"/>
          <w:szCs w:val="22"/>
          <w:lang w:val="sr-Latn-RS"/>
        </w:rPr>
      </w:pPr>
    </w:p>
    <w:p w:rsidR="004B1BB8" w:rsidRPr="001A4C36" w:rsidRDefault="004B1BB8" w:rsidP="00840FD0">
      <w:pPr>
        <w:spacing w:after="0"/>
      </w:pPr>
    </w:p>
    <w:sectPr w:rsidR="004B1BB8" w:rsidRPr="001A4C36" w:rsidSect="00721544">
      <w:headerReference w:type="default" r:id="rId8"/>
      <w:footerReference w:type="default" r:id="rId9"/>
      <w:pgSz w:w="11907" w:h="16840" w:code="9"/>
      <w:pgMar w:top="1134" w:right="1134" w:bottom="1134" w:left="1134" w:header="595"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D76" w:rsidRDefault="00415D76" w:rsidP="001B6DB1">
      <w:pPr>
        <w:pStyle w:val="TableText"/>
      </w:pPr>
      <w:r>
        <w:separator/>
      </w:r>
    </w:p>
  </w:endnote>
  <w:endnote w:type="continuationSeparator" w:id="0">
    <w:p w:rsidR="00415D76" w:rsidRDefault="00415D76" w:rsidP="001B6DB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A9C" w:rsidRDefault="001A3A9C" w:rsidP="00205DEA">
    <w:pPr>
      <w:pStyle w:val="Oznakaobrasca"/>
      <w:ind w:firstLine="0"/>
      <w:rPr>
        <w:rFonts w:ascii="Trebuchet MS" w:hAnsi="Trebuchet MS"/>
        <w:lang w:val="sr-Latn-CS"/>
      </w:rPr>
    </w:pPr>
  </w:p>
  <w:p w:rsidR="001A3A9C" w:rsidRPr="001A351B" w:rsidRDefault="001A3A9C" w:rsidP="001A351B">
    <w:pPr>
      <w:pStyle w:val="Footer"/>
      <w:rPr>
        <w:lang w:val="sr-Cyrl-CS"/>
      </w:rPr>
    </w:pPr>
    <w:r>
      <w:t>ОУОМ-ПР- 810-03.0</w:t>
    </w:r>
    <w:r w:rsidR="000B1307">
      <w:rPr>
        <w:lang w:val="sr-Cyrl-CS"/>
      </w:rPr>
      <w:t>6</w:t>
    </w:r>
  </w:p>
  <w:p w:rsidR="001A3A9C" w:rsidRDefault="001A3A9C" w:rsidP="001A351B">
    <w:pPr>
      <w:pStyle w:val="Footer"/>
    </w:pPr>
  </w:p>
  <w:p w:rsidR="001A3A9C" w:rsidRPr="00FD654D" w:rsidRDefault="001A3A9C" w:rsidP="00ED7DD0">
    <w:pPr>
      <w:pStyle w:val="Oznakaobrasca"/>
      <w:ind w:firstLine="0"/>
      <w:rPr>
        <w:lang w:val="sr-Latn-CS"/>
      </w:rPr>
    </w:pPr>
    <w:r w:rsidRPr="004C7E56">
      <w:rPr>
        <w:rFonts w:ascii="Trebuchet MS" w:hAnsi="Trebuchet MS"/>
      </w:rPr>
      <w:tab/>
    </w:r>
    <w:r w:rsidRPr="00FD654D">
      <w:rPr>
        <w:rStyle w:val="PageNumber"/>
      </w:rPr>
      <w:fldChar w:fldCharType="begin"/>
    </w:r>
    <w:r w:rsidRPr="00FD654D">
      <w:rPr>
        <w:rStyle w:val="PageNumber"/>
      </w:rPr>
      <w:instrText xml:space="preserve"> PAGE </w:instrText>
    </w:r>
    <w:r w:rsidRPr="00FD654D">
      <w:rPr>
        <w:rStyle w:val="PageNumber"/>
      </w:rPr>
      <w:fldChar w:fldCharType="separate"/>
    </w:r>
    <w:r w:rsidR="00C15ED5">
      <w:rPr>
        <w:rStyle w:val="PageNumber"/>
        <w:noProof/>
      </w:rPr>
      <w:t>5</w:t>
    </w:r>
    <w:r w:rsidRPr="00FD654D">
      <w:rPr>
        <w:rStyle w:val="PageNumber"/>
      </w:rPr>
      <w:fldChar w:fldCharType="end"/>
    </w:r>
    <w:r w:rsidRPr="00FD654D">
      <w:rPr>
        <w:rStyle w:val="PageNumber"/>
      </w:rPr>
      <w:t>/</w:t>
    </w:r>
    <w:r w:rsidRPr="00FD654D">
      <w:rPr>
        <w:rStyle w:val="PageNumber"/>
      </w:rPr>
      <w:fldChar w:fldCharType="begin"/>
    </w:r>
    <w:r w:rsidRPr="00FD654D">
      <w:rPr>
        <w:rStyle w:val="PageNumber"/>
      </w:rPr>
      <w:instrText xml:space="preserve"> NUMPAGES </w:instrText>
    </w:r>
    <w:r w:rsidRPr="00FD654D">
      <w:rPr>
        <w:rStyle w:val="PageNumber"/>
      </w:rPr>
      <w:fldChar w:fldCharType="separate"/>
    </w:r>
    <w:r w:rsidR="00C15ED5">
      <w:rPr>
        <w:rStyle w:val="PageNumber"/>
        <w:noProof/>
      </w:rPr>
      <w:t>5</w:t>
    </w:r>
    <w:r w:rsidRPr="00FD654D">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D76" w:rsidRDefault="00415D76" w:rsidP="001B6DB1">
      <w:pPr>
        <w:pStyle w:val="TableText"/>
      </w:pPr>
      <w:r>
        <w:separator/>
      </w:r>
    </w:p>
  </w:footnote>
  <w:footnote w:type="continuationSeparator" w:id="0">
    <w:p w:rsidR="00415D76" w:rsidRDefault="00415D76" w:rsidP="001B6DB1">
      <w:pPr>
        <w:pStyle w:val="Tab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5" w:type="dxa"/>
      <w:jc w:val="center"/>
      <w:tblBorders>
        <w:top w:val="single" w:sz="8" w:space="0" w:color="auto"/>
        <w:left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1A3A9C" w:rsidRPr="004C7E56" w:rsidTr="00E74690">
      <w:trPr>
        <w:cantSplit/>
        <w:trHeight w:hRule="exact" w:val="1247"/>
        <w:jc w:val="center"/>
      </w:trPr>
      <w:tc>
        <w:tcPr>
          <w:tcW w:w="2963" w:type="dxa"/>
          <w:tcBorders>
            <w:left w:val="single" w:sz="4" w:space="0" w:color="auto"/>
            <w:bottom w:val="single" w:sz="4" w:space="0" w:color="auto"/>
          </w:tcBorders>
          <w:vAlign w:val="center"/>
        </w:tcPr>
        <w:p w:rsidR="001A3A9C" w:rsidRPr="004C7E56" w:rsidRDefault="001A3A9C">
          <w:pPr>
            <w:pStyle w:val="TableText"/>
            <w:spacing w:before="0" w:after="0"/>
            <w:rPr>
              <w:rFonts w:ascii="Trebuchet MS" w:hAnsi="Trebuchet MS"/>
              <w:sz w:val="20"/>
            </w:rPr>
          </w:pPr>
          <w:r>
            <w:rPr>
              <w:noProof/>
              <w:lang w:val="sr-Latn-RS" w:eastAsia="sr-Latn-RS"/>
            </w:rPr>
            <w:drawing>
              <wp:inline distT="0" distB="0" distL="0" distR="0" wp14:anchorId="7DC54442" wp14:editId="13D89C3A">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tcBorders>
            <w:bottom w:val="single" w:sz="4" w:space="0" w:color="auto"/>
          </w:tcBorders>
          <w:vAlign w:val="center"/>
        </w:tcPr>
        <w:p w:rsidR="001A3A9C" w:rsidRPr="006C200D" w:rsidRDefault="00C15ED5" w:rsidP="00840FD0">
          <w:pPr>
            <w:pStyle w:val="Naslov"/>
            <w:rPr>
              <w:b w:val="0"/>
              <w:sz w:val="24"/>
              <w:szCs w:val="24"/>
            </w:rPr>
          </w:pPr>
          <w:r>
            <w:rPr>
              <w:b w:val="0"/>
              <w:sz w:val="24"/>
              <w:szCs w:val="24"/>
              <w:lang w:val="sr-Cyrl-CS"/>
            </w:rPr>
            <w:t>О Д Л У К А</w:t>
          </w:r>
        </w:p>
      </w:tc>
      <w:tc>
        <w:tcPr>
          <w:tcW w:w="1843" w:type="dxa"/>
          <w:tcBorders>
            <w:bottom w:val="single" w:sz="4" w:space="0" w:color="auto"/>
          </w:tcBorders>
          <w:vAlign w:val="center"/>
        </w:tcPr>
        <w:p w:rsidR="001A3A9C" w:rsidRPr="00056A94" w:rsidRDefault="001A3A9C" w:rsidP="00E915CE">
          <w:pPr>
            <w:jc w:val="center"/>
            <w:rPr>
              <w:sz w:val="24"/>
              <w:szCs w:val="24"/>
            </w:rPr>
          </w:pPr>
          <w:r w:rsidRPr="00056A94">
            <w:rPr>
              <w:sz w:val="24"/>
              <w:szCs w:val="24"/>
            </w:rPr>
            <w:t>Архивира:</w:t>
          </w:r>
        </w:p>
        <w:p w:rsidR="001A3A9C" w:rsidRPr="00ED7DD0" w:rsidRDefault="001A3A9C" w:rsidP="00E915CE">
          <w:pPr>
            <w:jc w:val="center"/>
            <w:rPr>
              <w:rFonts w:ascii="Trebuchet MS" w:hAnsi="Trebuchet MS"/>
              <w:sz w:val="20"/>
            </w:rPr>
          </w:pPr>
        </w:p>
      </w:tc>
    </w:tr>
  </w:tbl>
  <w:p w:rsidR="001A3A9C" w:rsidRDefault="001A3A9C">
    <w:pPr>
      <w:pStyle w:val="Pror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B094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9792EB6"/>
    <w:multiLevelType w:val="singleLevel"/>
    <w:tmpl w:val="A9D25B22"/>
    <w:lvl w:ilvl="0">
      <w:start w:val="1"/>
      <w:numFmt w:val="bullet"/>
      <w:lvlText w:val="»"/>
      <w:lvlJc w:val="left"/>
      <w:pPr>
        <w:tabs>
          <w:tab w:val="num" w:pos="360"/>
        </w:tabs>
        <w:ind w:left="360" w:hanging="360"/>
      </w:pPr>
      <w:rPr>
        <w:rFonts w:ascii="Times New Roman" w:hAnsi="Times New Roman" w:hint="default"/>
      </w:rPr>
    </w:lvl>
  </w:abstractNum>
  <w:abstractNum w:abstractNumId="2">
    <w:nsid w:val="45C8471E"/>
    <w:multiLevelType w:val="hybridMultilevel"/>
    <w:tmpl w:val="1DCC8596"/>
    <w:lvl w:ilvl="0" w:tplc="08090011">
      <w:start w:val="1"/>
      <w:numFmt w:val="decimal"/>
      <w:lvlText w:val="%1)"/>
      <w:lvlJc w:val="left"/>
      <w:pPr>
        <w:ind w:left="720" w:hanging="360"/>
      </w:pPr>
      <w:rPr>
        <w:rFonts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4D737FC2"/>
    <w:multiLevelType w:val="hybridMultilevel"/>
    <w:tmpl w:val="551ED0FE"/>
    <w:lvl w:ilvl="0" w:tplc="0E2AAC4C">
      <w:start w:val="5"/>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2BD3E34"/>
    <w:multiLevelType w:val="singleLevel"/>
    <w:tmpl w:val="8B2EFAFE"/>
    <w:lvl w:ilvl="0">
      <w:start w:val="1"/>
      <w:numFmt w:val="bullet"/>
      <w:pStyle w:val="Nabrajanja"/>
      <w:lvlText w:val=""/>
      <w:lvlJc w:val="left"/>
      <w:pPr>
        <w:tabs>
          <w:tab w:val="num" w:pos="360"/>
        </w:tabs>
        <w:ind w:left="360" w:hanging="360"/>
      </w:pPr>
      <w:rPr>
        <w:rFonts w:ascii="Symbol" w:hAnsi="Symbol" w:hint="default"/>
        <w:sz w:val="24"/>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DEA"/>
    <w:rsid w:val="00053C3A"/>
    <w:rsid w:val="00054469"/>
    <w:rsid w:val="00056A94"/>
    <w:rsid w:val="000615C3"/>
    <w:rsid w:val="00071650"/>
    <w:rsid w:val="0008350C"/>
    <w:rsid w:val="0008538E"/>
    <w:rsid w:val="00093FF7"/>
    <w:rsid w:val="000964A0"/>
    <w:rsid w:val="000A2DAF"/>
    <w:rsid w:val="000A7DAE"/>
    <w:rsid w:val="000B1305"/>
    <w:rsid w:val="000B1307"/>
    <w:rsid w:val="00105FFD"/>
    <w:rsid w:val="00110DCB"/>
    <w:rsid w:val="00116E6C"/>
    <w:rsid w:val="0013610C"/>
    <w:rsid w:val="001713AC"/>
    <w:rsid w:val="00174813"/>
    <w:rsid w:val="001A351B"/>
    <w:rsid w:val="001A3A9C"/>
    <w:rsid w:val="001A4C36"/>
    <w:rsid w:val="001B6DB1"/>
    <w:rsid w:val="001C7CB3"/>
    <w:rsid w:val="001D1C82"/>
    <w:rsid w:val="001E6A5E"/>
    <w:rsid w:val="001F4DC6"/>
    <w:rsid w:val="00201DBF"/>
    <w:rsid w:val="00205DEA"/>
    <w:rsid w:val="002207D7"/>
    <w:rsid w:val="00230F93"/>
    <w:rsid w:val="00250B36"/>
    <w:rsid w:val="00273319"/>
    <w:rsid w:val="00282BE1"/>
    <w:rsid w:val="002C33D3"/>
    <w:rsid w:val="002C567D"/>
    <w:rsid w:val="002D7F2A"/>
    <w:rsid w:val="002F3BAB"/>
    <w:rsid w:val="003026BB"/>
    <w:rsid w:val="0031166E"/>
    <w:rsid w:val="003117C2"/>
    <w:rsid w:val="0031428D"/>
    <w:rsid w:val="003325EC"/>
    <w:rsid w:val="003345DB"/>
    <w:rsid w:val="00341469"/>
    <w:rsid w:val="00345E7F"/>
    <w:rsid w:val="00354BBB"/>
    <w:rsid w:val="00364A50"/>
    <w:rsid w:val="003675D4"/>
    <w:rsid w:val="00380BE9"/>
    <w:rsid w:val="003A570A"/>
    <w:rsid w:val="003C10E5"/>
    <w:rsid w:val="003F7A88"/>
    <w:rsid w:val="00412D6A"/>
    <w:rsid w:val="00415D76"/>
    <w:rsid w:val="00417871"/>
    <w:rsid w:val="0045448F"/>
    <w:rsid w:val="00467C06"/>
    <w:rsid w:val="00483483"/>
    <w:rsid w:val="00495906"/>
    <w:rsid w:val="004A5A24"/>
    <w:rsid w:val="004B1BB8"/>
    <w:rsid w:val="004C7E56"/>
    <w:rsid w:val="004D4FFE"/>
    <w:rsid w:val="005440DC"/>
    <w:rsid w:val="00580A28"/>
    <w:rsid w:val="005937F5"/>
    <w:rsid w:val="005C26AF"/>
    <w:rsid w:val="005C509F"/>
    <w:rsid w:val="005C552B"/>
    <w:rsid w:val="005F1933"/>
    <w:rsid w:val="00603ED6"/>
    <w:rsid w:val="006233E0"/>
    <w:rsid w:val="00634F6C"/>
    <w:rsid w:val="00655489"/>
    <w:rsid w:val="0066323E"/>
    <w:rsid w:val="00673ED8"/>
    <w:rsid w:val="0068157D"/>
    <w:rsid w:val="0068387C"/>
    <w:rsid w:val="00690C3D"/>
    <w:rsid w:val="00693A5A"/>
    <w:rsid w:val="00695E44"/>
    <w:rsid w:val="006C200D"/>
    <w:rsid w:val="006D066C"/>
    <w:rsid w:val="006E4059"/>
    <w:rsid w:val="006F1C9A"/>
    <w:rsid w:val="00720EB4"/>
    <w:rsid w:val="00721544"/>
    <w:rsid w:val="007827D5"/>
    <w:rsid w:val="00797DFC"/>
    <w:rsid w:val="007A0F08"/>
    <w:rsid w:val="007C16D8"/>
    <w:rsid w:val="007E315C"/>
    <w:rsid w:val="007F6C93"/>
    <w:rsid w:val="00840FD0"/>
    <w:rsid w:val="008448FD"/>
    <w:rsid w:val="00861E99"/>
    <w:rsid w:val="008D6E9D"/>
    <w:rsid w:val="008E7D98"/>
    <w:rsid w:val="00914A89"/>
    <w:rsid w:val="00933B81"/>
    <w:rsid w:val="009741B9"/>
    <w:rsid w:val="009F0122"/>
    <w:rsid w:val="009F2084"/>
    <w:rsid w:val="00A036C4"/>
    <w:rsid w:val="00A1658E"/>
    <w:rsid w:val="00A326DD"/>
    <w:rsid w:val="00A52F06"/>
    <w:rsid w:val="00A77F15"/>
    <w:rsid w:val="00AC0434"/>
    <w:rsid w:val="00AF3B20"/>
    <w:rsid w:val="00AF4819"/>
    <w:rsid w:val="00B0666F"/>
    <w:rsid w:val="00B2136A"/>
    <w:rsid w:val="00B24AD7"/>
    <w:rsid w:val="00B3031B"/>
    <w:rsid w:val="00B30DA0"/>
    <w:rsid w:val="00B56737"/>
    <w:rsid w:val="00B7000C"/>
    <w:rsid w:val="00B72D08"/>
    <w:rsid w:val="00B9144B"/>
    <w:rsid w:val="00BA13A3"/>
    <w:rsid w:val="00BC34FD"/>
    <w:rsid w:val="00BD7FD9"/>
    <w:rsid w:val="00C06EF2"/>
    <w:rsid w:val="00C15ED5"/>
    <w:rsid w:val="00C55294"/>
    <w:rsid w:val="00C60A60"/>
    <w:rsid w:val="00C66BF0"/>
    <w:rsid w:val="00C77011"/>
    <w:rsid w:val="00C77ABF"/>
    <w:rsid w:val="00C81F60"/>
    <w:rsid w:val="00C85E32"/>
    <w:rsid w:val="00CA06E4"/>
    <w:rsid w:val="00CB2325"/>
    <w:rsid w:val="00CC0145"/>
    <w:rsid w:val="00CF67E3"/>
    <w:rsid w:val="00D12F64"/>
    <w:rsid w:val="00D14A9D"/>
    <w:rsid w:val="00D41006"/>
    <w:rsid w:val="00D44FFF"/>
    <w:rsid w:val="00D87B27"/>
    <w:rsid w:val="00DC168E"/>
    <w:rsid w:val="00DC6452"/>
    <w:rsid w:val="00DC7DF0"/>
    <w:rsid w:val="00DD7C89"/>
    <w:rsid w:val="00DE1864"/>
    <w:rsid w:val="00DF1FFD"/>
    <w:rsid w:val="00E1433E"/>
    <w:rsid w:val="00E177DB"/>
    <w:rsid w:val="00E22913"/>
    <w:rsid w:val="00E74690"/>
    <w:rsid w:val="00E80953"/>
    <w:rsid w:val="00E90910"/>
    <w:rsid w:val="00E90FD9"/>
    <w:rsid w:val="00E915CE"/>
    <w:rsid w:val="00E9763F"/>
    <w:rsid w:val="00EA2B04"/>
    <w:rsid w:val="00EB30EF"/>
    <w:rsid w:val="00ED7DD0"/>
    <w:rsid w:val="00EE629A"/>
    <w:rsid w:val="00F104B1"/>
    <w:rsid w:val="00F23339"/>
    <w:rsid w:val="00F43F46"/>
    <w:rsid w:val="00F627E8"/>
    <w:rsid w:val="00F63C09"/>
    <w:rsid w:val="00F77458"/>
    <w:rsid w:val="00FC0428"/>
    <w:rsid w:val="00FD65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1433E"/>
    <w:pPr>
      <w:tabs>
        <w:tab w:val="left" w:pos="-425"/>
        <w:tab w:val="left" w:pos="1191"/>
      </w:tabs>
      <w:ind w:left="510"/>
    </w:pPr>
  </w:style>
  <w:style w:type="paragraph" w:customStyle="1" w:styleId="Nabrajanja">
    <w:name w:val="# • Nabrajanja"/>
    <w:basedOn w:val="Nabrajanja0"/>
    <w:rsid w:val="00E1433E"/>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rsid w:val="00E1433E"/>
    <w:pPr>
      <w:tabs>
        <w:tab w:val="center" w:pos="4320"/>
        <w:tab w:val="right" w:pos="8640"/>
      </w:tabs>
    </w:pPr>
  </w:style>
  <w:style w:type="paragraph" w:styleId="Footer">
    <w:name w:val="footer"/>
    <w:basedOn w:val="Normal"/>
    <w:link w:val="FooterChar"/>
    <w:uiPriority w:val="99"/>
    <w:rsid w:val="00E1433E"/>
    <w:pPr>
      <w:tabs>
        <w:tab w:val="center" w:pos="4320"/>
        <w:tab w:val="right" w:pos="8640"/>
      </w:tabs>
    </w:pPr>
  </w:style>
  <w:style w:type="character" w:styleId="CommentReference">
    <w:name w:val="annotation reference"/>
    <w:semiHidden/>
    <w:rsid w:val="00E1433E"/>
    <w:rPr>
      <w:sz w:val="16"/>
    </w:rPr>
  </w:style>
  <w:style w:type="paragraph" w:styleId="CommentText">
    <w:name w:val="annotation text"/>
    <w:basedOn w:val="Normal"/>
    <w:semiHidden/>
    <w:rsid w:val="00E1433E"/>
    <w:rPr>
      <w:sz w:val="20"/>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numPr>
        <w:numId w:val="3"/>
      </w:numPr>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uiPriority w:val="1"/>
    <w:qFormat/>
    <w:rsid w:val="001713AC"/>
    <w:rPr>
      <w:sz w:val="24"/>
      <w:szCs w:val="24"/>
      <w:lang w:val="en-US" w:eastAsia="en-US"/>
    </w:rPr>
  </w:style>
  <w:style w:type="character" w:customStyle="1" w:styleId="FooterChar">
    <w:name w:val="Footer Char"/>
    <w:basedOn w:val="DefaultParagraphFont"/>
    <w:link w:val="Footer"/>
    <w:uiPriority w:val="99"/>
    <w:rsid w:val="001A351B"/>
    <w:rPr>
      <w:sz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33E"/>
    <w:pPr>
      <w:spacing w:before="60" w:after="60"/>
      <w:jc w:val="both"/>
    </w:pPr>
    <w:rPr>
      <w:sz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1433E"/>
    <w:pPr>
      <w:tabs>
        <w:tab w:val="left" w:pos="-425"/>
        <w:tab w:val="left" w:pos="1191"/>
      </w:tabs>
      <w:ind w:left="510"/>
    </w:pPr>
  </w:style>
  <w:style w:type="paragraph" w:customStyle="1" w:styleId="Nabrajanja">
    <w:name w:val="# • Nabrajanja"/>
    <w:basedOn w:val="Nabrajanja0"/>
    <w:rsid w:val="00E1433E"/>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1433E"/>
    <w:pPr>
      <w:jc w:val="center"/>
    </w:pPr>
    <w:rPr>
      <w:b/>
      <w:noProof/>
      <w:sz w:val="32"/>
      <w:lang w:val="en-US" w:eastAsia="en-US"/>
    </w:rPr>
  </w:style>
  <w:style w:type="paragraph" w:customStyle="1" w:styleId="NaslovTabele">
    <w:name w:val="#NaslovTabele"/>
    <w:basedOn w:val="Normal"/>
    <w:rsid w:val="00E1433E"/>
    <w:pPr>
      <w:spacing w:before="240"/>
    </w:pPr>
    <w:rPr>
      <w:b/>
      <w:sz w:val="24"/>
    </w:rPr>
  </w:style>
  <w:style w:type="paragraph" w:customStyle="1" w:styleId="Oznaka">
    <w:name w:val="#Oznaka"/>
    <w:basedOn w:val="Normal"/>
    <w:rsid w:val="00E1433E"/>
    <w:pPr>
      <w:spacing w:before="20" w:after="20"/>
      <w:ind w:left="113"/>
      <w:jc w:val="left"/>
    </w:pPr>
    <w:rPr>
      <w:b/>
      <w:sz w:val="24"/>
    </w:rPr>
  </w:style>
  <w:style w:type="paragraph" w:customStyle="1" w:styleId="Oznakaobrasca">
    <w:name w:val="#Oznaka obrasca"/>
    <w:basedOn w:val="NaslovTabele"/>
    <w:rsid w:val="00E1433E"/>
    <w:pPr>
      <w:tabs>
        <w:tab w:val="right" w:pos="9923"/>
      </w:tabs>
      <w:spacing w:before="0" w:after="0"/>
      <w:ind w:firstLine="56"/>
    </w:pPr>
    <w:rPr>
      <w:b w:val="0"/>
      <w:sz w:val="22"/>
      <w:lang w:val="sr-Cyrl-CS"/>
    </w:rPr>
  </w:style>
  <w:style w:type="paragraph" w:customStyle="1" w:styleId="PodNaslov1">
    <w:name w:val="#PodNaslov_1"/>
    <w:basedOn w:val="Normal"/>
    <w:next w:val="Normal"/>
    <w:rsid w:val="00E1433E"/>
    <w:pPr>
      <w:spacing w:before="200" w:after="80"/>
    </w:pPr>
    <w:rPr>
      <w:b/>
      <w:sz w:val="26"/>
    </w:rPr>
  </w:style>
  <w:style w:type="paragraph" w:customStyle="1" w:styleId="PodNaslov2">
    <w:name w:val="#PodNaslov_2"/>
    <w:basedOn w:val="Normal"/>
    <w:next w:val="Normal"/>
    <w:rsid w:val="00E1433E"/>
    <w:pPr>
      <w:spacing w:before="160"/>
    </w:pPr>
    <w:rPr>
      <w:b/>
      <w:sz w:val="24"/>
    </w:rPr>
  </w:style>
  <w:style w:type="paragraph" w:customStyle="1" w:styleId="PosleNabrajanja">
    <w:name w:val="#PosleNabrajanja"/>
    <w:basedOn w:val="Normal"/>
    <w:next w:val="Normal"/>
    <w:rsid w:val="00E1433E"/>
    <w:pPr>
      <w:spacing w:before="120" w:after="40"/>
    </w:pPr>
  </w:style>
  <w:style w:type="paragraph" w:customStyle="1" w:styleId="TableText">
    <w:name w:val="#TableText"/>
    <w:basedOn w:val="Normal"/>
    <w:rsid w:val="00E1433E"/>
    <w:pPr>
      <w:spacing w:after="40"/>
      <w:jc w:val="center"/>
    </w:pPr>
    <w:rPr>
      <w:lang w:val="sr-Cyrl-CS"/>
    </w:rPr>
  </w:style>
  <w:style w:type="paragraph" w:customStyle="1" w:styleId="TableTextNaslov">
    <w:name w:val="#TableTextNaslov"/>
    <w:basedOn w:val="TableText"/>
    <w:rsid w:val="00E1433E"/>
    <w:rPr>
      <w:b/>
    </w:rPr>
  </w:style>
  <w:style w:type="paragraph" w:styleId="Caption">
    <w:name w:val="caption"/>
    <w:basedOn w:val="Normal"/>
    <w:next w:val="Normal"/>
    <w:qFormat/>
    <w:rsid w:val="00E1433E"/>
    <w:pPr>
      <w:spacing w:before="120" w:after="120"/>
    </w:pPr>
    <w:rPr>
      <w:b/>
    </w:rPr>
  </w:style>
  <w:style w:type="paragraph" w:styleId="Header">
    <w:name w:val="header"/>
    <w:basedOn w:val="Normal"/>
    <w:rsid w:val="00E1433E"/>
    <w:pPr>
      <w:tabs>
        <w:tab w:val="center" w:pos="4320"/>
        <w:tab w:val="right" w:pos="8640"/>
      </w:tabs>
    </w:pPr>
  </w:style>
  <w:style w:type="paragraph" w:styleId="Footer">
    <w:name w:val="footer"/>
    <w:basedOn w:val="Normal"/>
    <w:link w:val="FooterChar"/>
    <w:uiPriority w:val="99"/>
    <w:rsid w:val="00E1433E"/>
    <w:pPr>
      <w:tabs>
        <w:tab w:val="center" w:pos="4320"/>
        <w:tab w:val="right" w:pos="8640"/>
      </w:tabs>
    </w:pPr>
  </w:style>
  <w:style w:type="character" w:styleId="CommentReference">
    <w:name w:val="annotation reference"/>
    <w:semiHidden/>
    <w:rsid w:val="00E1433E"/>
    <w:rPr>
      <w:sz w:val="16"/>
    </w:rPr>
  </w:style>
  <w:style w:type="paragraph" w:styleId="CommentText">
    <w:name w:val="annotation text"/>
    <w:basedOn w:val="Normal"/>
    <w:semiHidden/>
    <w:rsid w:val="00E1433E"/>
    <w:rPr>
      <w:sz w:val="20"/>
    </w:rPr>
  </w:style>
  <w:style w:type="character" w:styleId="PageNumber">
    <w:name w:val="page number"/>
    <w:basedOn w:val="DefaultParagraphFont"/>
    <w:rsid w:val="00E1433E"/>
  </w:style>
  <w:style w:type="paragraph" w:customStyle="1" w:styleId="Prored">
    <w:name w:val="#Prored"/>
    <w:basedOn w:val="Normal"/>
    <w:next w:val="Normal"/>
    <w:rsid w:val="00E1433E"/>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1433E"/>
    <w:pPr>
      <w:numPr>
        <w:numId w:val="3"/>
      </w:numPr>
    </w:pPr>
  </w:style>
  <w:style w:type="paragraph" w:customStyle="1" w:styleId="Brojevi">
    <w:name w:val="#Brojevi"/>
    <w:basedOn w:val="Normal"/>
    <w:rsid w:val="00E1433E"/>
    <w:pPr>
      <w:spacing w:before="0" w:after="0"/>
      <w:jc w:val="center"/>
    </w:pPr>
    <w:rPr>
      <w:sz w:val="18"/>
    </w:rPr>
  </w:style>
  <w:style w:type="paragraph" w:customStyle="1" w:styleId="Adresa">
    <w:name w:val="#Adresa"/>
    <w:basedOn w:val="Normal"/>
    <w:rsid w:val="00E1433E"/>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uiPriority w:val="1"/>
    <w:qFormat/>
    <w:rsid w:val="001713AC"/>
    <w:rPr>
      <w:sz w:val="24"/>
      <w:szCs w:val="24"/>
      <w:lang w:val="en-US" w:eastAsia="en-US"/>
    </w:rPr>
  </w:style>
  <w:style w:type="character" w:customStyle="1" w:styleId="FooterChar">
    <w:name w:val="Footer Char"/>
    <w:basedOn w:val="DefaultParagraphFont"/>
    <w:link w:val="Footer"/>
    <w:uiPriority w:val="99"/>
    <w:rsid w:val="001A351B"/>
    <w:rPr>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01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Qms\Obrazac%20A4%20Portr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Obrazac A4 Portret</Template>
  <TotalTime>0</TotalTime>
  <Pages>5</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Tip dokumenta:</vt:lpstr>
    </vt:vector>
  </TitlesOfParts>
  <Company>S&amp;S Inc.</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dokumenta:</dc:title>
  <dc:creator>CQ</dc:creator>
  <cp:lastModifiedBy>lj_kolundzic</cp:lastModifiedBy>
  <cp:revision>2</cp:revision>
  <cp:lastPrinted>2022-12-22T08:11:00Z</cp:lastPrinted>
  <dcterms:created xsi:type="dcterms:W3CDTF">2022-12-22T08:14:00Z</dcterms:created>
  <dcterms:modified xsi:type="dcterms:W3CDTF">2022-12-22T08:14:00Z</dcterms:modified>
</cp:coreProperties>
</file>