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F77C" w14:textId="77777777" w:rsid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>Рeпублика Србија</w:t>
      </w:r>
    </w:p>
    <w:p w14:paraId="75942446" w14:textId="5084E152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Општина Медвеђа</w:t>
      </w:r>
    </w:p>
    <w:p w14:paraId="4F407CE0" w14:textId="77777777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Општинска управа општине Медвеђа</w:t>
      </w:r>
    </w:p>
    <w:p w14:paraId="7803897E" w14:textId="77777777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Одељење за урбанизам</w:t>
      </w:r>
    </w:p>
    <w:p w14:paraId="3ABEAB19" w14:textId="77777777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Одсек за спровођење обједињене процедуре</w:t>
      </w:r>
    </w:p>
    <w:p w14:paraId="3FB6AF88" w14:textId="77777777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за издавање аката у области изградње</w:t>
      </w:r>
    </w:p>
    <w:p w14:paraId="5E78B8E4" w14:textId="70D3159A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Број: ROP-MED-</w:t>
      </w:r>
      <w:r w:rsidR="005945BE">
        <w:rPr>
          <w:rFonts w:ascii="Times New Roman" w:hAnsi="Times New Roman" w:cs="Times New Roman"/>
          <w:sz w:val="24"/>
          <w:szCs w:val="24"/>
        </w:rPr>
        <w:t>3034</w:t>
      </w:r>
      <w:r w:rsidRPr="007220C0">
        <w:rPr>
          <w:rFonts w:ascii="Times New Roman" w:hAnsi="Times New Roman" w:cs="Times New Roman"/>
          <w:sz w:val="24"/>
          <w:szCs w:val="24"/>
        </w:rPr>
        <w:t>-CPI-</w:t>
      </w:r>
      <w:r w:rsidR="005945BE">
        <w:rPr>
          <w:rFonts w:ascii="Times New Roman" w:hAnsi="Times New Roman" w:cs="Times New Roman"/>
          <w:sz w:val="24"/>
          <w:szCs w:val="24"/>
        </w:rPr>
        <w:t>1</w:t>
      </w:r>
      <w:r w:rsidRPr="007220C0">
        <w:rPr>
          <w:rFonts w:ascii="Times New Roman" w:hAnsi="Times New Roman" w:cs="Times New Roman"/>
          <w:sz w:val="24"/>
          <w:szCs w:val="24"/>
        </w:rPr>
        <w:t>/202</w:t>
      </w:r>
      <w:r w:rsidR="005945BE">
        <w:rPr>
          <w:rFonts w:ascii="Times New Roman" w:hAnsi="Times New Roman" w:cs="Times New Roman"/>
          <w:sz w:val="24"/>
          <w:szCs w:val="24"/>
        </w:rPr>
        <w:t>6</w:t>
      </w:r>
    </w:p>
    <w:p w14:paraId="5859DD6A" w14:textId="4467C7CE" w:rsidR="007220C0" w:rsidRPr="005F5A6F" w:rsidRDefault="007220C0" w:rsidP="00A96D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 xml:space="preserve">Заводни број: </w:t>
      </w:r>
      <w:r w:rsidR="005F5A6F">
        <w:rPr>
          <w:rFonts w:ascii="Times New Roman" w:hAnsi="Times New Roman" w:cs="Times New Roman"/>
          <w:sz w:val="24"/>
          <w:szCs w:val="24"/>
          <w:lang w:val="sr-Cyrl-RS"/>
        </w:rPr>
        <w:t>000477766 2026 06154 004 009 351 143</w:t>
      </w:r>
    </w:p>
    <w:p w14:paraId="0A901C81" w14:textId="3FACDD77" w:rsidR="007220C0" w:rsidRP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Датум: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9. фебруар 2026</w:t>
      </w:r>
      <w:r w:rsidRPr="007220C0">
        <w:rPr>
          <w:rFonts w:ascii="Times New Roman" w:hAnsi="Times New Roman" w:cs="Times New Roman"/>
          <w:sz w:val="24"/>
          <w:szCs w:val="24"/>
        </w:rPr>
        <w:t>. године</w:t>
      </w:r>
    </w:p>
    <w:p w14:paraId="55A2310B" w14:textId="77777777" w:rsidR="007220C0" w:rsidRDefault="007220C0" w:rsidP="00A96D5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>Медвеђа</w:t>
      </w:r>
    </w:p>
    <w:p w14:paraId="1D42F0F0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0B885A" w14:textId="5835EAC4" w:rsidR="002C59E6" w:rsidRPr="00F473DF" w:rsidRDefault="007220C0" w:rsidP="00A96D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за урбанизам Општинске управе општине Медвеђа</w:t>
      </w:r>
      <w:r w:rsidR="002C59E6">
        <w:rPr>
          <w:rFonts w:ascii="Times New Roman" w:hAnsi="Times New Roman" w:cs="Times New Roman"/>
          <w:sz w:val="24"/>
          <w:szCs w:val="24"/>
          <w:lang w:val="sr-Cyrl-RS"/>
        </w:rPr>
        <w:t xml:space="preserve"> улица Краља Милана број 48</w:t>
      </w:r>
      <w:r w:rsidRPr="007220C0">
        <w:rPr>
          <w:rFonts w:ascii="Times New Roman" w:hAnsi="Times New Roman" w:cs="Times New Roman"/>
          <w:sz w:val="24"/>
          <w:szCs w:val="24"/>
        </w:rPr>
        <w:t>, поступајући по захтеву за издавање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решења о грађевинској дозволи који je инвеститор Општин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>ска управа општине</w:t>
      </w:r>
      <w:r w:rsidRPr="007220C0">
        <w:rPr>
          <w:rFonts w:ascii="Times New Roman" w:hAnsi="Times New Roman" w:cs="Times New Roman"/>
          <w:sz w:val="24"/>
          <w:szCs w:val="24"/>
        </w:rPr>
        <w:t xml:space="preserve"> Медвеђа, ул. Краља Милана бр.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48, поднео кроз Централно информациони систем кроз који се спроводи обједињена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процедура преко овлашћеног пуномоћника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Дејана Симића</w:t>
      </w:r>
      <w:r w:rsidR="002C10C5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="003B5A19">
        <w:rPr>
          <w:rFonts w:ascii="Times New Roman" w:hAnsi="Times New Roman" w:cs="Times New Roman"/>
          <w:sz w:val="24"/>
          <w:szCs w:val="24"/>
        </w:rPr>
        <w:t xml:space="preserve"> </w:t>
      </w:r>
      <w:r w:rsidR="002C10C5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 xml:space="preserve"> ул. Јабланичка </w:t>
      </w:r>
      <w:r w:rsidR="002C10C5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>204,</w:t>
      </w:r>
      <w:r w:rsidRPr="007220C0">
        <w:rPr>
          <w:rFonts w:ascii="Times New Roman" w:hAnsi="Times New Roman" w:cs="Times New Roman"/>
          <w:sz w:val="24"/>
          <w:szCs w:val="24"/>
        </w:rPr>
        <w:t xml:space="preserve"> а који се односи на планирану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изградњу објекта јавне намене (дневни боравак за децу, младе и одрасле са телесним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инвалидитетом и интелектуалним тешкоћама у развоју) на кат. пар. бр. 34 у КО Медвеђа,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општина Медвеђа, на основу чл. 8ђ, 134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7220C0">
        <w:rPr>
          <w:rFonts w:ascii="Times New Roman" w:hAnsi="Times New Roman" w:cs="Times New Roman"/>
          <w:sz w:val="24"/>
          <w:szCs w:val="24"/>
        </w:rPr>
        <w:t>136.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Закона о планирању и изградњи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(„Службени гласник РС“, бр. 72/2009, 81/2009 - испр, 64/2010 - одлука УС, 24/2011, 121/2012,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42/2013 - одлука УС, 50/2013 - одлука УС, 98/2013 - одлука УС, 132/2014, 145/2014, 83/2018,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31/2019, 37/2019 – др. закон, 9/2020 и 52/2021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>, 62/2023 и 91/2025</w:t>
      </w:r>
      <w:r w:rsidRPr="007220C0">
        <w:rPr>
          <w:rFonts w:ascii="Times New Roman" w:hAnsi="Times New Roman" w:cs="Times New Roman"/>
          <w:sz w:val="24"/>
          <w:szCs w:val="24"/>
        </w:rPr>
        <w:t>), чл. 17.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2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220C0">
        <w:rPr>
          <w:rFonts w:ascii="Times New Roman" w:hAnsi="Times New Roman" w:cs="Times New Roman"/>
          <w:sz w:val="24"/>
          <w:szCs w:val="24"/>
        </w:rPr>
        <w:t>. Правилника о поступку спровођења обједињене процедуре eлектронским путем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(„Службени гласник РС“, бр.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 xml:space="preserve"> 96/2023</w:t>
      </w:r>
      <w:r w:rsidRPr="007220C0">
        <w:rPr>
          <w:rFonts w:ascii="Times New Roman" w:hAnsi="Times New Roman" w:cs="Times New Roman"/>
          <w:sz w:val="24"/>
          <w:szCs w:val="24"/>
        </w:rPr>
        <w:t>)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D51F7" w:rsidRPr="007220C0">
        <w:rPr>
          <w:rFonts w:ascii="Times New Roman" w:hAnsi="Times New Roman" w:cs="Times New Roman"/>
          <w:sz w:val="24"/>
          <w:szCs w:val="24"/>
        </w:rPr>
        <w:t>члана 136. Закона о општем управном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51F7" w:rsidRPr="007220C0">
        <w:rPr>
          <w:rFonts w:ascii="Times New Roman" w:hAnsi="Times New Roman" w:cs="Times New Roman"/>
          <w:sz w:val="24"/>
          <w:szCs w:val="24"/>
        </w:rPr>
        <w:t>поступку („Службени гласник РС“, бр. 18/2016 и 95/2018 – аутентично тумачење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 xml:space="preserve"> и 2/2023 – одлука УС</w:t>
      </w:r>
      <w:r w:rsidR="00BD51F7" w:rsidRPr="007220C0">
        <w:rPr>
          <w:rFonts w:ascii="Times New Roman" w:hAnsi="Times New Roman" w:cs="Times New Roman"/>
          <w:sz w:val="24"/>
          <w:szCs w:val="24"/>
        </w:rPr>
        <w:t xml:space="preserve">) </w:t>
      </w:r>
      <w:r w:rsidRPr="007220C0">
        <w:rPr>
          <w:rFonts w:ascii="Times New Roman" w:hAnsi="Times New Roman" w:cs="Times New Roman"/>
          <w:sz w:val="24"/>
          <w:szCs w:val="24"/>
        </w:rPr>
        <w:t>а по Овлашћењу начелника Општинске 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општине Медвеђа број 01-031-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7220C0">
        <w:rPr>
          <w:rFonts w:ascii="Times New Roman" w:hAnsi="Times New Roman" w:cs="Times New Roman"/>
          <w:sz w:val="24"/>
          <w:szCs w:val="24"/>
        </w:rPr>
        <w:t>/20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7220C0">
        <w:rPr>
          <w:rFonts w:ascii="Times New Roman" w:hAnsi="Times New Roman" w:cs="Times New Roman"/>
          <w:sz w:val="24"/>
          <w:szCs w:val="24"/>
        </w:rPr>
        <w:t>-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220C0">
        <w:rPr>
          <w:rFonts w:ascii="Times New Roman" w:hAnsi="Times New Roman" w:cs="Times New Roman"/>
          <w:sz w:val="24"/>
          <w:szCs w:val="24"/>
        </w:rPr>
        <w:t xml:space="preserve"> од 2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220C0">
        <w:rPr>
          <w:rFonts w:ascii="Times New Roman" w:hAnsi="Times New Roman" w:cs="Times New Roman"/>
          <w:sz w:val="24"/>
          <w:szCs w:val="24"/>
        </w:rPr>
        <w:t>.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220C0">
        <w:rPr>
          <w:rFonts w:ascii="Times New Roman" w:hAnsi="Times New Roman" w:cs="Times New Roman"/>
          <w:sz w:val="24"/>
          <w:szCs w:val="24"/>
        </w:rPr>
        <w:t>.20</w:t>
      </w:r>
      <w:r w:rsidR="00BD51F7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7220C0">
        <w:rPr>
          <w:rFonts w:ascii="Times New Roman" w:hAnsi="Times New Roman" w:cs="Times New Roman"/>
          <w:sz w:val="24"/>
          <w:szCs w:val="24"/>
        </w:rPr>
        <w:t>. године, доноси</w:t>
      </w:r>
    </w:p>
    <w:p w14:paraId="2C118466" w14:textId="77777777" w:rsidR="007220C0" w:rsidRPr="007220C0" w:rsidRDefault="007220C0" w:rsidP="00117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РЕШЕЊЕ</w:t>
      </w:r>
    </w:p>
    <w:p w14:paraId="23F3FADE" w14:textId="61EBDC68" w:rsidR="007220C0" w:rsidRDefault="007220C0" w:rsidP="00117A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>О ГРАЂЕВИНСКОЈ ДОЗВОЛИ</w:t>
      </w:r>
    </w:p>
    <w:p w14:paraId="6F081D7A" w14:textId="77777777" w:rsidR="00117A8A" w:rsidRPr="00117A8A" w:rsidRDefault="00117A8A" w:rsidP="00117A8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70E498" w14:textId="01F1AE90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ИЗДАЈЕ СЕ инвеститору Општин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>ска управа општине</w:t>
      </w:r>
      <w:r w:rsidRPr="007220C0">
        <w:rPr>
          <w:rFonts w:ascii="Times New Roman" w:hAnsi="Times New Roman" w:cs="Times New Roman"/>
          <w:sz w:val="24"/>
          <w:szCs w:val="24"/>
        </w:rPr>
        <w:t xml:space="preserve"> Медвеђа (МБ 07178476), ул. Краља Милана бр. 48, решење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о грађевинској дозволи којим се одобрава изградња </w:t>
      </w:r>
      <w:r w:rsidR="0089006D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7220C0">
        <w:rPr>
          <w:rFonts w:ascii="Times New Roman" w:hAnsi="Times New Roman" w:cs="Times New Roman"/>
          <w:sz w:val="24"/>
          <w:szCs w:val="24"/>
        </w:rPr>
        <w:t>објекта (дневни боравак за децу, младе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одрасле са телесним инвалидитетом и интелектуалним тешкоћама у развоју) на кат. пар. бр.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34 у КО Медвеђа, општина Медвеђа.</w:t>
      </w:r>
    </w:p>
    <w:p w14:paraId="47C90208" w14:textId="67DBA521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Пројектно-техничком документацијом планирана је изградња објекта „Б“ категорије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класификационим бројем 113001, спратности Пр, укупна бруто развијена грађевинска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површина износи 140,00 м2, нето (корисна) површина је 121,00 м2, а висина слемена 4,70 м.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Габарит и положај објекта на парцели, као и обележавање паркинг места у складу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графичким приказом пројектне документације. Површина кат. пар. бр. 34 у КО Медвеђа,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општина Медвеђа износи 6.509 м2.</w:t>
      </w:r>
    </w:p>
    <w:p w14:paraId="45080E31" w14:textId="28FE0A06" w:rsidR="007220C0" w:rsidRPr="00390F2F" w:rsidRDefault="007220C0" w:rsidP="00A96D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90F2F">
        <w:rPr>
          <w:rFonts w:ascii="Times New Roman" w:hAnsi="Times New Roman" w:cs="Times New Roman"/>
          <w:sz w:val="24"/>
          <w:szCs w:val="24"/>
        </w:rPr>
        <w:t xml:space="preserve">Предрачунска вредност радова je </w:t>
      </w:r>
      <w:r w:rsidR="00390F2F">
        <w:rPr>
          <w:rFonts w:ascii="Times New Roman" w:hAnsi="Times New Roman" w:cs="Times New Roman"/>
          <w:sz w:val="24"/>
          <w:szCs w:val="24"/>
          <w:lang w:val="sr-Cyrl-RS"/>
        </w:rPr>
        <w:t>14.877.816,25</w:t>
      </w:r>
      <w:r w:rsidRPr="00390F2F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390F2F" w:rsidRPr="00390F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1536A1" w14:textId="77777777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Саставни део овог решења су:</w:t>
      </w:r>
    </w:p>
    <w:p w14:paraId="2B10A3C7" w14:textId="785E6437" w:rsidR="007220C0" w:rsidRPr="007220C0" w:rsidRDefault="007220C0" w:rsidP="00A96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lastRenderedPageBreak/>
        <w:t>Локацијски услови број ROP-MED-199-LOC-1/2022, заводни број 04-2-351-2/2022 од 27. 1.</w:t>
      </w:r>
      <w:r w:rsidRPr="00722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2022. године, издао Oдсек за спровођење обједињене процедуре за издавање аката у</w:t>
      </w:r>
      <w:r w:rsidRPr="00722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области изградње Одељења за урбанизам Општинске управе општине Медвеђа;</w:t>
      </w:r>
    </w:p>
    <w:p w14:paraId="7E5355F9" w14:textId="7C1BD43F" w:rsidR="00EA770C" w:rsidRPr="00EA770C" w:rsidRDefault="007220C0" w:rsidP="00A96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Извод из пројекта за грађевинску дозволу и Пројекат за грађевинску дозволу број</w:t>
      </w:r>
      <w:r w:rsidRPr="00722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03/27.01.2022. од јануара 2022. године, у pdf и dwg формату, које је израдио</w:t>
      </w:r>
      <w:r w:rsidRPr="00722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„Планерпројект“ Лесковац, ул. Пролетерска бр. 30, главни пројектант је Драган Лазић,</w:t>
      </w:r>
      <w:r w:rsidRPr="00722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дипл. инж. арх. са лиценцом ИКС број 300 D711 06</w:t>
      </w:r>
      <w:r w:rsidR="003B5A19">
        <w:rPr>
          <w:rFonts w:ascii="Times New Roman" w:hAnsi="Times New Roman" w:cs="Times New Roman"/>
          <w:sz w:val="24"/>
          <w:szCs w:val="24"/>
        </w:rPr>
        <w:t>;</w:t>
      </w:r>
    </w:p>
    <w:p w14:paraId="68E47800" w14:textId="56405D97" w:rsidR="007220C0" w:rsidRPr="004E3B36" w:rsidRDefault="007220C0" w:rsidP="00A96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B36">
        <w:rPr>
          <w:rFonts w:ascii="Times New Roman" w:hAnsi="Times New Roman" w:cs="Times New Roman"/>
          <w:sz w:val="24"/>
          <w:szCs w:val="24"/>
        </w:rPr>
        <w:t>Пројекат за грађевинску дозволу чини: 0 – главна свеска, главни и одговорни пројектант је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Драгана Лазић, дипл. инж. арх. са лиценцом ИКС број 300 D711 06; 1 –пројекат архитектуре,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одговорни пројектант је Драгана Лазић, дипл. инж. арх. са лиценцом ИКС број 300 D711 06; 2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 xml:space="preserve">– пројекат конструкције, одговорни пројектант је Сребрн Стојановић, дипл. инж. грађ. 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4E3B36">
        <w:rPr>
          <w:rFonts w:ascii="Times New Roman" w:hAnsi="Times New Roman" w:cs="Times New Roman"/>
          <w:sz w:val="24"/>
          <w:szCs w:val="24"/>
        </w:rPr>
        <w:t>а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лиценцом ИКС број 312 I787 10; 3 – пројекат хидротехничких инсталација, одговорни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пројектант је Драган Ранђеловић, дипл. инж. грађ. са лиценцом ИКС број 313 2480 03; 4 –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пројекат електроенергетских инсталација, одговорни пројектант је Петар</w:t>
      </w:r>
      <w:r w:rsidR="00CC7334"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С.</w:t>
      </w:r>
      <w:r w:rsidRPr="004E3B36">
        <w:rPr>
          <w:rFonts w:ascii="Times New Roman" w:hAnsi="Times New Roman" w:cs="Times New Roman"/>
          <w:sz w:val="24"/>
          <w:szCs w:val="24"/>
        </w:rPr>
        <w:t xml:space="preserve"> Станковић, дипл.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инж. ел. са лиценцом ИКС број 350 8709 04; 6 – пројекат машинских инсталација, одговорни</w:t>
      </w:r>
      <w:r w:rsidRPr="004E3B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3B36">
        <w:rPr>
          <w:rFonts w:ascii="Times New Roman" w:hAnsi="Times New Roman" w:cs="Times New Roman"/>
          <w:sz w:val="24"/>
          <w:szCs w:val="24"/>
        </w:rPr>
        <w:t>пројектант је Зоран Стевановић, дипл. инж. маш. са лиценцом ИКС број 330 9301 04.</w:t>
      </w:r>
    </w:p>
    <w:p w14:paraId="2D1506C9" w14:textId="4C0BC698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Техничку контролу број 20/20.01/2022 од јануара 2022. године извршио је Биро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пројектовање и вештачење из области архитектуре и извођење радова у грађевинарству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„Инкопројект планирање“ Лесковац, ул. Бранислава Нушића бр. 3/5. Потписници извештаја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извршеној техничкој контроли за: 1 – пројекат архитектуре је Жарко Љубић, дипл. инж. арх.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са лиценцом ИКС број 300 К945 12; 2 – пројекат конструкције је Никола Митровић, дипл.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инж. грађ. са лиценцом ИКС број 310 Р383 17; 3 – пројекат хидротехничких инсталација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Жарко Љубић, дипл. инж. арх. са лиценцом ИКС број 300 К945 12; 4 –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електроенергетских инсталација је Иван Ђокић, дипл. инж. ел. са лиценцом ИКС број 350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С020 05; 6 – пројекат машинских инсталација је Дивна Ивановић, дипл. инж. маш.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7220C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лиценцом ИКС број 330 2272 03.</w:t>
      </w:r>
    </w:p>
    <w:p w14:paraId="11F69EB5" w14:textId="3B27E845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Саставни део пројекта за грађевинску дозволу су и Елаборат енергетске ефикасности од</w:t>
      </w:r>
      <w:r w:rsidR="005444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јануара 2022. године, одговорни пројектант је Сребрн Стојановић, дипл. инж. грађ. и Елаборат</w:t>
      </w:r>
      <w:r w:rsidR="005444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заштите од пожара број ЕЗП 0101-22 од 22.1.2022. године који је израдио „Цербинг“ доо</w:t>
      </w:r>
      <w:r w:rsidR="005444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Лесковац, ул. Војводе Мишића бр. 14а, овлашћено и одговорно лице, као и одговорни</w:t>
      </w:r>
      <w:r w:rsidR="005444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пројектант је Милан Јовић, дипл. инж. електр. и рачунар. са лиценцама МУП број 09/4-217-</w:t>
      </w:r>
      <w:r w:rsidR="005444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808/16 и 09-152-776/16.</w:t>
      </w:r>
    </w:p>
    <w:p w14:paraId="3D335208" w14:textId="77777777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Документација је потписана квалификованим електронским потписима овлашћених лица.</w:t>
      </w:r>
    </w:p>
    <w:p w14:paraId="07E3713F" w14:textId="77777777" w:rsidR="00D80752" w:rsidRDefault="00D80752" w:rsidP="00D8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0752">
        <w:rPr>
          <w:rFonts w:ascii="Times New Roman" w:hAnsi="Times New Roman" w:cs="Times New Roman"/>
          <w:kern w:val="0"/>
          <w:sz w:val="24"/>
          <w:szCs w:val="24"/>
        </w:rPr>
        <w:t>Сходно члану 97. став 11. Закона о планирању и изградњи и члану 11. Одлуке о утврђивању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0752">
        <w:rPr>
          <w:rFonts w:ascii="Times New Roman" w:hAnsi="Times New Roman" w:cs="Times New Roman"/>
          <w:kern w:val="0"/>
          <w:sz w:val="24"/>
          <w:szCs w:val="24"/>
        </w:rPr>
        <w:t>доприноса за уређивање грађевинског земљишта („Службени гласник града Лесковца“, бр.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0752">
        <w:rPr>
          <w:rFonts w:ascii="Times New Roman" w:hAnsi="Times New Roman" w:cs="Times New Roman"/>
          <w:kern w:val="0"/>
          <w:sz w:val="24"/>
          <w:szCs w:val="24"/>
        </w:rPr>
        <w:t>15/2015 и 5/2017), а у складу са врстом и наменом објекта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271F8737" w14:textId="77777777" w:rsidR="00D80752" w:rsidRDefault="00D80752" w:rsidP="00D8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121C6A9" w14:textId="3B7C358F" w:rsidR="007220C0" w:rsidRPr="00D80752" w:rsidRDefault="007220C0" w:rsidP="00D8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Инвеститор је у обавези да:</w:t>
      </w:r>
    </w:p>
    <w:p w14:paraId="31A7905A" w14:textId="0C9FAB97" w:rsidR="00C7692F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692F">
        <w:rPr>
          <w:rFonts w:ascii="Times New Roman" w:hAnsi="Times New Roman" w:cs="Times New Roman"/>
          <w:sz w:val="24"/>
          <w:szCs w:val="24"/>
        </w:rPr>
        <w:t>Најкасније 8 дана пре почетка извођења радова поднесе овом органу пријаву радова, у</w:t>
      </w:r>
      <w:r w:rsidR="004C73E1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складу са чланом 148. Закона о планирању и изградњи и чланом 3</w:t>
      </w:r>
      <w:r w:rsidR="00DD193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C7692F">
        <w:rPr>
          <w:rFonts w:ascii="Times New Roman" w:hAnsi="Times New Roman" w:cs="Times New Roman"/>
          <w:sz w:val="24"/>
          <w:szCs w:val="24"/>
        </w:rPr>
        <w:t xml:space="preserve">. </w:t>
      </w:r>
      <w:r w:rsidRPr="00C7692F">
        <w:rPr>
          <w:rFonts w:ascii="Times New Roman" w:hAnsi="Times New Roman" w:cs="Times New Roman"/>
          <w:sz w:val="24"/>
          <w:szCs w:val="24"/>
        </w:rPr>
        <w:lastRenderedPageBreak/>
        <w:t>Правилника о</w:t>
      </w:r>
      <w:r w:rsidR="004C73E1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поступку спровођења обједињене процедуре електронским путем, у којој се наводи датум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почетка и завршетка радова, а уз коју се прилаже и уговор о пружању услуге за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прикључење на дистрибутивни систем електричне енергије закључен између инвеститора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и „Електродистрибуције Србије“ доо Београд, којим су регулисане обавезе везане за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начин прикључења на инфраструктурну мрежу, као и сагласност на студију о процени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утицаја на животну средину, ако је обавеза њене израде утврђена прописом којим се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уређује процена утицаја на животну средину, односно одлука да није потребна израда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студије;</w:t>
      </w:r>
    </w:p>
    <w:p w14:paraId="4001DF6F" w14:textId="298A70E2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Пре почетка грађења обезбеди обележавање грађевинске парцеле, регулационих,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нивелационих и грађевинских линија, као и да постави одговарајућу таблу са подацима о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објекту и радовима;</w:t>
      </w:r>
    </w:p>
    <w:p w14:paraId="6EB8C2BE" w14:textId="34216525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Поштује правила Закона о планирању и изградњи која се односе на одредбе о извођачу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радова, одговорном извођачу радова и стручном надзору, као и опште услове које су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издали имаоци јавних овлашћења;</w:t>
      </w:r>
    </w:p>
    <w:p w14:paraId="2E340523" w14:textId="7531954E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Приликом изградње објекта и његовог опремања поштује одредбе Правилника о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техничким стандардима планирања, пројектовања и изградње објеката, којима се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осигурава несметано кретање и приступ особама са инвалидитетом, деци и старим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особама („Службени гласник РС“, бр. 22/2015), као и сва остала правила и услове из ове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области;</w:t>
      </w:r>
    </w:p>
    <w:p w14:paraId="09B664A2" w14:textId="31C62EBF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Посредством извођача радова поступи по правилима којим се надлежни орган обавештава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 завршетку израде темеља објекта, одмах по завршетку те фазе, сходно члану 152. став 2.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и 3. Закона о планирању и изградњи и члану 3</w:t>
      </w:r>
      <w:r w:rsidR="00CD2C0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C7692F">
        <w:rPr>
          <w:rFonts w:ascii="Times New Roman" w:hAnsi="Times New Roman" w:cs="Times New Roman"/>
          <w:sz w:val="24"/>
          <w:szCs w:val="24"/>
        </w:rPr>
        <w:t>. Правилника о поступку спровођења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обједињене процедуре електронским путем, као и о завршетку објекта у конструктивном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смислу, одмах по завршетку те фазе, сходно члану 152. став 2. и 3. Закона о планирању и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изградњи и члану 3</w:t>
      </w:r>
      <w:r w:rsidR="00CD2C0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C7692F">
        <w:rPr>
          <w:rFonts w:ascii="Times New Roman" w:hAnsi="Times New Roman" w:cs="Times New Roman"/>
          <w:sz w:val="24"/>
          <w:szCs w:val="24"/>
        </w:rPr>
        <w:t>. Правилника о поступку спровођења обједињене процедуре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електронским путем;</w:t>
      </w:r>
    </w:p>
    <w:p w14:paraId="63F22365" w14:textId="288E0166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Поднесе захтев за прикључење објекта на комуналну и другу инфраструктуру уз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прилагање документације предвиђене чл.  40. Правилника о поступку спровођења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обједињене процедуре електронским путем;</w:t>
      </w:r>
    </w:p>
    <w:p w14:paraId="2C2D0CE0" w14:textId="49381433" w:rsidR="007220C0" w:rsidRPr="00C7692F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92F">
        <w:rPr>
          <w:rFonts w:ascii="Times New Roman" w:hAnsi="Times New Roman" w:cs="Times New Roman"/>
          <w:sz w:val="24"/>
          <w:szCs w:val="24"/>
        </w:rPr>
        <w:t>Прибави употребну дозволу, по завршетку изградње а пре коришћења објекта, коју издаје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насловљени орган по поднетом захтеву у складу са чланом 158. Закона о планирању и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изградњи и чланом 4</w:t>
      </w:r>
      <w:r w:rsidR="004227F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7692F">
        <w:rPr>
          <w:rFonts w:ascii="Times New Roman" w:hAnsi="Times New Roman" w:cs="Times New Roman"/>
          <w:sz w:val="24"/>
          <w:szCs w:val="24"/>
        </w:rPr>
        <w:t>. Правилника о поступку спровођења обједињене процедуре</w:t>
      </w:r>
      <w:r w:rsidR="00C7692F" w:rsidRPr="00C76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692F">
        <w:rPr>
          <w:rFonts w:ascii="Times New Roman" w:hAnsi="Times New Roman" w:cs="Times New Roman"/>
          <w:sz w:val="24"/>
          <w:szCs w:val="24"/>
        </w:rPr>
        <w:t>електронским путем;</w:t>
      </w:r>
    </w:p>
    <w:p w14:paraId="3FD2AB69" w14:textId="7AB1F621" w:rsidR="007220C0" w:rsidRPr="00B96A68" w:rsidRDefault="007220C0" w:rsidP="00A96D5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A68">
        <w:rPr>
          <w:rFonts w:ascii="Times New Roman" w:hAnsi="Times New Roman" w:cs="Times New Roman"/>
          <w:sz w:val="24"/>
          <w:szCs w:val="24"/>
        </w:rPr>
        <w:t>Трајно чувају један примерак техничке документације на основу које је издато ово</w:t>
      </w:r>
      <w:r w:rsidR="00C7692F" w:rsidRP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96A68">
        <w:rPr>
          <w:rFonts w:ascii="Times New Roman" w:hAnsi="Times New Roman" w:cs="Times New Roman"/>
          <w:sz w:val="24"/>
          <w:szCs w:val="24"/>
        </w:rPr>
        <w:t>решење.</w:t>
      </w:r>
    </w:p>
    <w:p w14:paraId="60F6758A" w14:textId="7D73F0D2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У складу са чланом 8ђ. Закона о планирању и изградњи и чланом 17. Правилника о поступку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спровођења обједињене процедуре електронским путем насловљени орган је приступио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провери испуњености формалних услова за поступање по захтеву који се односе на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надлежност органа за поступање, податке о инвеститору, захтев, његову садржину и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приложену документацију, достављене доказе о уплати административних такси и накнада и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није се упуштао у оцену техничке документације, нити је испитивао веродостојност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докумената која су прибављена у процедури изван граница својих овлашћења. Одговорност о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тачности и достављању свих неопходних пројеката који су саставни део пројекта за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грађевинску дозволу, као и о стручности лица која врше потписивања, овере и техничку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контролу сноси главни и одговорни пројектант за израду </w:t>
      </w:r>
      <w:r w:rsidRPr="007220C0">
        <w:rPr>
          <w:rFonts w:ascii="Times New Roman" w:hAnsi="Times New Roman" w:cs="Times New Roman"/>
          <w:sz w:val="24"/>
          <w:szCs w:val="24"/>
        </w:rPr>
        <w:lastRenderedPageBreak/>
        <w:t>пројекта за грађевинску дозволу. За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штету насталу као последица примене техничке документације на основу које је издато ово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решење о грађевинској дозволи и за коју се накнадно утврди да није урађена у складу са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прописима и правилима струке солидарно одговарају инвеститор, вршилац техничке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контроле, као и главни и одговорни пројектант који је израдио, потписао и оверио техничку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документацију (личним печатом и квалификованим електронским потписом).</w:t>
      </w:r>
    </w:p>
    <w:p w14:paraId="7E7173BE" w14:textId="0A557782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Ово решење престаје да важи уколико се не изврши пријава радова у року од 3 године од дана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његове правноснажности. Будући да се у конретном случају не ради о објекту који инвеститор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гради ради решавања својих стамбених питања, решење престаје да важи и ако у року од 5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година од дана његове правноснажности не буде издата употребна дозвола.</w:t>
      </w:r>
    </w:p>
    <w:p w14:paraId="61723330" w14:textId="77777777" w:rsidR="007220C0" w:rsidRPr="007220C0" w:rsidRDefault="007220C0" w:rsidP="00F85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2A000C39" w14:textId="67BFCA45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Инвеститор Општин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ска управа општине</w:t>
      </w:r>
      <w:r w:rsidRPr="007220C0">
        <w:rPr>
          <w:rFonts w:ascii="Times New Roman" w:hAnsi="Times New Roman" w:cs="Times New Roman"/>
          <w:sz w:val="24"/>
          <w:szCs w:val="24"/>
        </w:rPr>
        <w:t xml:space="preserve"> Медвеђа, ул. Краља Милана бр. 48, преко овлашћеног пуномоћника</w:t>
      </w:r>
      <w:r w:rsidR="00117A8A" w:rsidRPr="00117A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Дејана Симића, ул. Јабланичка 204, Медвеђа</w:t>
      </w:r>
      <w:r w:rsidRPr="007220C0">
        <w:rPr>
          <w:rFonts w:ascii="Times New Roman" w:hAnsi="Times New Roman" w:cs="Times New Roman"/>
          <w:sz w:val="24"/>
          <w:szCs w:val="24"/>
        </w:rPr>
        <w:t>, поднео је кроз Централно информациони систем кроз који се спроводи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обједињена процедура захтев за издавање решења о грађевинској дозволи број ROP-MED-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3034</w:t>
      </w:r>
      <w:r w:rsidRPr="007220C0">
        <w:rPr>
          <w:rFonts w:ascii="Times New Roman" w:hAnsi="Times New Roman" w:cs="Times New Roman"/>
          <w:sz w:val="24"/>
          <w:szCs w:val="24"/>
        </w:rPr>
        <w:t>-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CPI-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220C0">
        <w:rPr>
          <w:rFonts w:ascii="Times New Roman" w:hAnsi="Times New Roman" w:cs="Times New Roman"/>
          <w:sz w:val="24"/>
          <w:szCs w:val="24"/>
        </w:rPr>
        <w:t>/202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220C0">
        <w:rPr>
          <w:rFonts w:ascii="Times New Roman" w:hAnsi="Times New Roman" w:cs="Times New Roman"/>
          <w:sz w:val="24"/>
          <w:szCs w:val="24"/>
        </w:rPr>
        <w:t xml:space="preserve">, заводни број </w:t>
      </w:r>
      <w:r w:rsidR="005F5A6F">
        <w:rPr>
          <w:rFonts w:ascii="Times New Roman" w:hAnsi="Times New Roman" w:cs="Times New Roman"/>
          <w:sz w:val="24"/>
          <w:szCs w:val="24"/>
          <w:lang w:val="sr-Cyrl-RS"/>
        </w:rPr>
        <w:t xml:space="preserve">000477766 2026 06154 004 009 351 143 </w:t>
      </w:r>
      <w:r w:rsidRPr="007220C0">
        <w:rPr>
          <w:rFonts w:ascii="Times New Roman" w:hAnsi="Times New Roman" w:cs="Times New Roman"/>
          <w:sz w:val="24"/>
          <w:szCs w:val="24"/>
        </w:rPr>
        <w:t xml:space="preserve">од 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06.02.2026</w:t>
      </w:r>
      <w:r w:rsidRPr="007220C0">
        <w:rPr>
          <w:rFonts w:ascii="Times New Roman" w:hAnsi="Times New Roman" w:cs="Times New Roman"/>
          <w:sz w:val="24"/>
          <w:szCs w:val="24"/>
        </w:rPr>
        <w:t>. године, који се односи на планирану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изградњу објекта јавне намене (дневни боравак за децу, младе и одрасле са телесним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инвалидитетом и интелектуалним тешкоћама у развоју) на кат. пар. бр. 34 у КО Медвеђа,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општина Медвеђа, а у складу са чланом 135. Закона о планирању и изградњи и чланом 16.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5EE1BDC6" w14:textId="77777777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Уз захтев је приложена следећа документација:</w:t>
      </w:r>
    </w:p>
    <w:p w14:paraId="22A2BD3E" w14:textId="2C081C34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Извод из пројекта за грађевинску дозволу и Пројекат за грађевинску дозволу број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03/27.01.2022. од јануара 2022. године, у pdf и dwg формату, које је израдио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„Планерпројект“ Лесковац, ул. Пролетерска бр. 30, главни пројектант је Драган Лазић,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дипл. инж. арх. са лиценцом ИКС број 300 D711 06. Пројекат за грађевинску дозволу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чини: 0 – главна свеска, главни и одговорни пројектант је Драгана Лазић, дипл. инж. арх.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са лиценцом ИКС број 300 D711 06; 1 –пројекат архитектуре, одговорни пројектант је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Драгана Лазић, дипл. инж. арх. са лиценцом ИКС број 300 D711 06; 2 – пројекат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конструкције, одговорни пројектант је Сребрн Стојановић, дипл. инж. грађ. са лиценцом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ИКС број 312 I787 10; 3 – пројекат хидротехничких инсталација, одговорни пројектант је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Драган Ранђеловић, дипл. инж. грађ. са лиценцом ИКС број 313 2480 03; 4 – пројекат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електроенергетских инсталација, одговорни пројектант је Петар Станковић, дипл. инж. ел.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са лиценцом ИКС број 350 8709 04; 6 – пројекат машинских инсталација, одговорни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пројектант је Зоран Стевановић, дипл. инж. маш. са лиценцом ИКС број 330 9301 04;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Елаборат енергетске ефикасности и Елаборат заштите од пожара;</w:t>
      </w:r>
    </w:p>
    <w:p w14:paraId="3D50E617" w14:textId="5F0A8850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Извештај о техничкој контроли број 20/20.01/2022 од јануара 2022. године коју је извршио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Биро за пројектовање и вештачење из области архитектуре и извођење радова у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грађевинарству „Инкопројект планирање“ Лесковац, ул. Бранислава Нушића бр. 3/5.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Вршиоци техничке контроле за 1 – пројекат архитектуре је Жарко Љубић, дипл. инж. арх.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са лиценцом ИКС број 300 К945 12; 2 – пројекат конструкције је Никола Митровић, дипл.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инж. грађ. са лиценцом ИКС број 310 Р383 17; 3 – пројекат хидротехничких инсталација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lastRenderedPageBreak/>
        <w:t>је Жарко Љубић, дипл. инж. арх. са лиценцом ИКС број 300 К945 12; 4 – пројекат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електроенергетских инсталација је Иван Ђокић, дипл. инж. ел. са лиценцом ИКС број 350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С020 05; 6 – пројекат машинских инсталација је Дивна Ивановић, дипл. инж. маш. 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7220C0">
        <w:rPr>
          <w:rFonts w:ascii="Times New Roman" w:hAnsi="Times New Roman" w:cs="Times New Roman"/>
          <w:sz w:val="24"/>
          <w:szCs w:val="24"/>
        </w:rPr>
        <w:t>а</w:t>
      </w:r>
      <w:r w:rsidR="00B9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лиценцом ИКС број 330 2272 03;</w:t>
      </w:r>
    </w:p>
    <w:p w14:paraId="502529AB" w14:textId="7C3CC263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Потписан и оверен катастарско-топографски план за предметну локацију који је израдио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ГБ „Геокота“;</w:t>
      </w:r>
    </w:p>
    <w:p w14:paraId="7A212E1B" w14:textId="630F023A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Пуномоћје</w:t>
      </w:r>
      <w:r w:rsidR="003D6DD8">
        <w:rPr>
          <w:rFonts w:ascii="Times New Roman" w:hAnsi="Times New Roman" w:cs="Times New Roman"/>
          <w:sz w:val="24"/>
          <w:szCs w:val="24"/>
          <w:lang w:val="sr-Cyrl-RS"/>
        </w:rPr>
        <w:t xml:space="preserve"> 07 број 016-1/2022-41 од 19. септембра 2022. године</w:t>
      </w:r>
      <w:r w:rsidRPr="007220C0">
        <w:rPr>
          <w:rFonts w:ascii="Times New Roman" w:hAnsi="Times New Roman" w:cs="Times New Roman"/>
          <w:sz w:val="24"/>
          <w:szCs w:val="24"/>
        </w:rPr>
        <w:t>;</w:t>
      </w:r>
    </w:p>
    <w:p w14:paraId="65F2C78E" w14:textId="77777777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Доказ о уплати накнаде за Централну евиденцију.</w:t>
      </w:r>
    </w:p>
    <w:p w14:paraId="73A4D429" w14:textId="4E2ECB09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У поступку који је претходио доношењу овог решења надлежни орган је у складу са својим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овлашћењима прописаним чланом 8ђ. Закона о планирању и изградњи и чланом 17.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Правилника о поступку спровођењу обједињене процедуре електронским путем приступио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провери испуњености формалних услова за поступање и утврдио да је надлежан за поступање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по поднетом захтеву, да подносилац захтева може бити инвеститор те врсте радова, да је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захтев поднет у предвиђеној форми и да садржи прописане податке и документацију, да је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приложен доказ о уплати предвиђене накнаде, као и да постоји усаглашеност битних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елемената у изводу из пројекта за грађевинску дозволу са правилима планског документа.</w:t>
      </w:r>
    </w:p>
    <w:p w14:paraId="444BD170" w14:textId="60FB1DFB" w:rsidR="007220C0" w:rsidRPr="00322D2E" w:rsidRDefault="004A392E" w:rsidP="004A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392E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надлежни орган је извршио увид у електронску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>базу података Републичког геодетског завода Службе за катастар непокретности у Медвеђи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>за кат. пар. бр. 3</w:t>
      </w:r>
      <w:r w:rsidRPr="004A392E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 xml:space="preserve"> у КО Медвеђа на којој је планирано извођење радова и утврдио да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>инвеститор има одговарајућу врсту права на земљишту на којем ће се изводити радови 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4A392E">
        <w:rPr>
          <w:rFonts w:ascii="Times New Roman" w:hAnsi="Times New Roman" w:cs="Times New Roman"/>
          <w:kern w:val="0"/>
          <w:sz w:val="24"/>
          <w:szCs w:val="24"/>
        </w:rPr>
        <w:t>право својине са уделом 1/1</w:t>
      </w:r>
      <w:r w:rsidR="00322D2E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2B11868C" w14:textId="77777777" w:rsidR="004A392E" w:rsidRPr="004A392E" w:rsidRDefault="004A392E" w:rsidP="004A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1121D91" w14:textId="469D72CB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Допринос за уређивање грађевинског земљишта не обрачунава се за објекте јавне намене у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јавној својини у складу са чланом 97. став </w:t>
      </w:r>
      <w:r w:rsidR="005C55E3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7220C0">
        <w:rPr>
          <w:rFonts w:ascii="Times New Roman" w:hAnsi="Times New Roman" w:cs="Times New Roman"/>
          <w:sz w:val="24"/>
          <w:szCs w:val="24"/>
        </w:rPr>
        <w:t>. Закона о планирању и изградњи и члана 11.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Одлуке о утврђивању доприноса за уређивање грађевинског земљишта („Службени гласник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града Лесковца“ бр. </w:t>
      </w:r>
      <w:r w:rsidR="00117A8A">
        <w:rPr>
          <w:rFonts w:ascii="Times New Roman" w:hAnsi="Times New Roman" w:cs="Times New Roman"/>
          <w:sz w:val="24"/>
          <w:szCs w:val="24"/>
          <w:lang w:val="sr-Cyrl-RS"/>
        </w:rPr>
        <w:t>42/2020</w:t>
      </w:r>
      <w:r w:rsidRPr="007220C0">
        <w:rPr>
          <w:rFonts w:ascii="Times New Roman" w:hAnsi="Times New Roman" w:cs="Times New Roman"/>
          <w:sz w:val="24"/>
          <w:szCs w:val="24"/>
        </w:rPr>
        <w:t>).</w:t>
      </w:r>
    </w:p>
    <w:p w14:paraId="3D960582" w14:textId="3E563067" w:rsidR="007220C0" w:rsidRPr="00F87AC6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F87AC6">
        <w:rPr>
          <w:rFonts w:ascii="Times New Roman" w:hAnsi="Times New Roman" w:cs="Times New Roman"/>
          <w:sz w:val="24"/>
          <w:szCs w:val="24"/>
        </w:rPr>
        <w:t>Накнада за услуге централне евиденције обједињених процедура у износу од 3.</w:t>
      </w:r>
      <w:r w:rsidR="00117A8A" w:rsidRPr="00F87A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87AC6">
        <w:rPr>
          <w:rFonts w:ascii="Times New Roman" w:hAnsi="Times New Roman" w:cs="Times New Roman"/>
          <w:sz w:val="24"/>
          <w:szCs w:val="24"/>
        </w:rPr>
        <w:t>00 динара</w:t>
      </w:r>
      <w:r w:rsidR="00A96D54" w:rsidRPr="00F87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AC6">
        <w:rPr>
          <w:rFonts w:ascii="Times New Roman" w:hAnsi="Times New Roman" w:cs="Times New Roman"/>
          <w:sz w:val="24"/>
          <w:szCs w:val="24"/>
        </w:rPr>
        <w:t xml:space="preserve">уплаћена је у складу са чланом </w:t>
      </w:r>
      <w:r w:rsidR="00117A8A" w:rsidRPr="00F87AC6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F87AC6">
        <w:rPr>
          <w:rFonts w:ascii="Times New Roman" w:hAnsi="Times New Roman" w:cs="Times New Roman"/>
          <w:sz w:val="24"/>
          <w:szCs w:val="24"/>
        </w:rPr>
        <w:t>. Одлуке о накнадама за послове регистрације и друге</w:t>
      </w:r>
      <w:r w:rsidR="00A96D54" w:rsidRPr="00F87A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AC6">
        <w:rPr>
          <w:rFonts w:ascii="Times New Roman" w:hAnsi="Times New Roman" w:cs="Times New Roman"/>
          <w:sz w:val="24"/>
          <w:szCs w:val="24"/>
        </w:rPr>
        <w:t>услуге које пружа Агенција за привредне регистре („Службени гласник РС“, бр.</w:t>
      </w:r>
      <w:r w:rsidR="00117A8A" w:rsidRPr="00F87AC6">
        <w:rPr>
          <w:rFonts w:ascii="Times New Roman" w:hAnsi="Times New Roman" w:cs="Times New Roman"/>
          <w:sz w:val="24"/>
          <w:szCs w:val="24"/>
          <w:lang w:val="sr-Cyrl-RS"/>
        </w:rPr>
        <w:t>95/2025</w:t>
      </w:r>
      <w:r w:rsidRPr="00F87AC6">
        <w:rPr>
          <w:rFonts w:ascii="Times New Roman" w:hAnsi="Times New Roman" w:cs="Times New Roman"/>
          <w:sz w:val="24"/>
          <w:szCs w:val="24"/>
        </w:rPr>
        <w:t>).</w:t>
      </w:r>
    </w:p>
    <w:p w14:paraId="601197F8" w14:textId="6E464AE3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На основу члана 18. Закона о републичким административним таксама</w:t>
      </w:r>
      <w:r w:rsidR="00B42798" w:rsidRPr="00992655">
        <w:rPr>
          <w:rFonts w:ascii="Times New Roman" w:hAnsi="Times New Roman" w:cs="Times New Roman"/>
          <w:sz w:val="24"/>
          <w:szCs w:val="24"/>
        </w:rPr>
        <w:t>(„Службени гласник РС“,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95/2018, 38/2019 - усклађени дин. изн., 95/2018, 38/2019 - усклађени дин. изн., 86/2019, 90/2019 - испр., 98/2020 - усклађени дин. изн., 144/2020, 62/2021 - усклађени дин. изн., 138/2022, 54/2023 - усклађени дин. изн., 92/2023, 59/2024 - усклађени дин. изн., 63/2024 - измена и допуна усклађених дин. изн. и 94/2024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 xml:space="preserve"> и 55/2025 – усклађени дин. изн.</w:t>
      </w:r>
      <w:r w:rsidR="00B42798">
        <w:rPr>
          <w:rFonts w:ascii="Times New Roman" w:hAnsi="Times New Roman" w:cs="Times New Roman"/>
          <w:sz w:val="24"/>
          <w:szCs w:val="24"/>
        </w:rPr>
        <w:t xml:space="preserve"> 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>и 109/2025</w:t>
      </w:r>
      <w:r w:rsidRPr="007220C0">
        <w:rPr>
          <w:rFonts w:ascii="Times New Roman" w:hAnsi="Times New Roman" w:cs="Times New Roman"/>
          <w:sz w:val="24"/>
          <w:szCs w:val="24"/>
        </w:rPr>
        <w:t>) и члана 8. Одлуке о накнадама за рад Општинске управе општине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Медвеђа („Службени </w:t>
      </w:r>
      <w:r w:rsidRPr="007220C0">
        <w:rPr>
          <w:rFonts w:ascii="Times New Roman" w:hAnsi="Times New Roman" w:cs="Times New Roman"/>
          <w:sz w:val="24"/>
          <w:szCs w:val="24"/>
        </w:rPr>
        <w:lastRenderedPageBreak/>
        <w:t>гласник града Лесковца“, бр. 9/2014 и 16/2020) инвеститор је ослобођен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обавезе плаћања административних такси и накнада за подношење захтева и доношења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решења о грађевинској дозволи.</w:t>
      </w:r>
    </w:p>
    <w:p w14:paraId="7E00F282" w14:textId="2D5F8D47" w:rsidR="007220C0" w:rsidRP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Поступајући по поднетом захтеву применом позитивних прописа утврђено је да су испуњени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сви услови за изградњу ближе описаног објекта те је одлучено као што у диспозитиву гласи.</w:t>
      </w:r>
    </w:p>
    <w:p w14:paraId="1ED61DAE" w14:textId="24DA6538" w:rsidR="007220C0" w:rsidRDefault="007220C0" w:rsidP="00A96D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20C0">
        <w:rPr>
          <w:rFonts w:ascii="Times New Roman" w:hAnsi="Times New Roman" w:cs="Times New Roman"/>
          <w:sz w:val="24"/>
          <w:szCs w:val="24"/>
        </w:rPr>
        <w:t>Поука о правном средству: Против овог решења може се изјавити жалба Министарству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грађевинарства, саобраћаја и инфраструктуре Београд, у року од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осам дана од пријема истог. Жалба се подноси преко Централно информационог система кроз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који се спроводи обједињена процедура уз достављање доказа о уплати републичке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административне таксе на тек. рач. бр. 840-742221843-57, модел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 97, позив на број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B42798" w:rsidRPr="00A25605">
        <w:rPr>
          <w:rFonts w:ascii="Times New Roman" w:hAnsi="Times New Roman" w:cs="Times New Roman"/>
          <w:sz w:val="24"/>
          <w:szCs w:val="24"/>
        </w:rPr>
        <w:t>1-067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7220C0">
        <w:rPr>
          <w:rFonts w:ascii="Times New Roman" w:hAnsi="Times New Roman" w:cs="Times New Roman"/>
          <w:sz w:val="24"/>
          <w:szCs w:val="24"/>
        </w:rPr>
        <w:t>, у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 xml:space="preserve">износу од </w:t>
      </w:r>
      <w:r w:rsidR="00B42798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7220C0">
        <w:rPr>
          <w:rFonts w:ascii="Times New Roman" w:hAnsi="Times New Roman" w:cs="Times New Roman"/>
          <w:sz w:val="24"/>
          <w:szCs w:val="24"/>
        </w:rPr>
        <w:t>0</w:t>
      </w:r>
      <w:r w:rsidR="005C55E3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7220C0">
        <w:rPr>
          <w:rFonts w:ascii="Times New Roman" w:hAnsi="Times New Roman" w:cs="Times New Roman"/>
          <w:sz w:val="24"/>
          <w:szCs w:val="24"/>
        </w:rPr>
        <w:t xml:space="preserve"> динара, а у складу са тарифним бројем 6. Закона о републичким</w:t>
      </w:r>
      <w:r w:rsidR="00A96D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20C0">
        <w:rPr>
          <w:rFonts w:ascii="Times New Roman" w:hAnsi="Times New Roman" w:cs="Times New Roman"/>
          <w:sz w:val="24"/>
          <w:szCs w:val="24"/>
        </w:rPr>
        <w:t>административним таксама.</w:t>
      </w:r>
    </w:p>
    <w:p w14:paraId="734ACD9A" w14:textId="77777777" w:rsidR="00A96D54" w:rsidRPr="007220C0" w:rsidRDefault="00A96D54" w:rsidP="007220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3D4F17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Доставити:</w:t>
      </w:r>
    </w:p>
    <w:p w14:paraId="260FE5A5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Подносиоцу захтева;</w:t>
      </w:r>
    </w:p>
    <w:p w14:paraId="4AE9BEF0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Грађевинском инспектору;</w:t>
      </w:r>
    </w:p>
    <w:p w14:paraId="044EC86B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„Електродистрибуцији Србије“ Београд;</w:t>
      </w:r>
    </w:p>
    <w:p w14:paraId="5D6B726F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ЈКП „Обнова“ Медвеђа;</w:t>
      </w:r>
    </w:p>
    <w:p w14:paraId="7E11E3B0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МУП, Сектор за ванредне ситуације, Одељењу за ванредне ситуације Лесковац;</w:t>
      </w:r>
    </w:p>
    <w:p w14:paraId="0F58CF33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„Телекому Србија“ ад;</w:t>
      </w:r>
    </w:p>
    <w:p w14:paraId="5D119F88" w14:textId="7D732E75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РГЗ СКН Медвеђа</w:t>
      </w:r>
      <w:r w:rsidR="006079C1"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Pr="007220C0">
        <w:rPr>
          <w:rFonts w:ascii="Times New Roman" w:hAnsi="Times New Roman" w:cs="Times New Roman"/>
          <w:sz w:val="24"/>
          <w:szCs w:val="24"/>
        </w:rPr>
        <w:t>;</w:t>
      </w:r>
    </w:p>
    <w:p w14:paraId="0822139B" w14:textId="77777777" w:rsidR="007220C0" w:rsidRPr="007220C0" w:rsidRDefault="007220C0" w:rsidP="007220C0">
      <w:pPr>
        <w:rPr>
          <w:rFonts w:ascii="Times New Roman" w:hAnsi="Times New Roman" w:cs="Times New Roman"/>
          <w:sz w:val="24"/>
          <w:szCs w:val="24"/>
        </w:rPr>
      </w:pPr>
      <w:r w:rsidRPr="007220C0">
        <w:rPr>
          <w:rFonts w:ascii="Times New Roman" w:hAnsi="Times New Roman" w:cs="Times New Roman"/>
          <w:sz w:val="24"/>
          <w:szCs w:val="24"/>
        </w:rPr>
        <w:t>- Архиви.</w:t>
      </w:r>
    </w:p>
    <w:p w14:paraId="6EFB297F" w14:textId="1C5B8747" w:rsidR="00346F15" w:rsidRDefault="00346F15" w:rsidP="007220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8E24EE" w14:textId="77777777" w:rsidR="00A96D54" w:rsidRDefault="00A96D54" w:rsidP="00A96D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Обрадила                                                                          Шеф одсека</w:t>
      </w:r>
    </w:p>
    <w:p w14:paraId="682B7B13" w14:textId="77777777" w:rsidR="00A96D54" w:rsidRPr="00850C2A" w:rsidRDefault="00A96D54" w:rsidP="00A96D5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Шарац, дипл. прав.                                           Марко Стојановић, дипл. прав.</w:t>
      </w:r>
    </w:p>
    <w:p w14:paraId="7A9350C2" w14:textId="77777777" w:rsidR="00A96D54" w:rsidRPr="00A96D54" w:rsidRDefault="00A96D54" w:rsidP="007220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96D54" w:rsidRPr="00A9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011"/>
    <w:multiLevelType w:val="hybridMultilevel"/>
    <w:tmpl w:val="1F5EBA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7F5C"/>
    <w:multiLevelType w:val="hybridMultilevel"/>
    <w:tmpl w:val="D81EA1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814230">
    <w:abstractNumId w:val="1"/>
  </w:num>
  <w:num w:numId="2" w16cid:durableId="63860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C0"/>
    <w:rsid w:val="00117A8A"/>
    <w:rsid w:val="001F33F9"/>
    <w:rsid w:val="002C10C5"/>
    <w:rsid w:val="002C59E6"/>
    <w:rsid w:val="00322D2E"/>
    <w:rsid w:val="00346F15"/>
    <w:rsid w:val="00390F2F"/>
    <w:rsid w:val="003B5A19"/>
    <w:rsid w:val="003D6DD8"/>
    <w:rsid w:val="003E5593"/>
    <w:rsid w:val="004227F1"/>
    <w:rsid w:val="004A392E"/>
    <w:rsid w:val="004C73E1"/>
    <w:rsid w:val="004E3B36"/>
    <w:rsid w:val="00544464"/>
    <w:rsid w:val="005945BE"/>
    <w:rsid w:val="005C55E3"/>
    <w:rsid w:val="005F507B"/>
    <w:rsid w:val="005F5A6F"/>
    <w:rsid w:val="006079C1"/>
    <w:rsid w:val="00636412"/>
    <w:rsid w:val="00657B45"/>
    <w:rsid w:val="007220C0"/>
    <w:rsid w:val="00725E00"/>
    <w:rsid w:val="007C4C26"/>
    <w:rsid w:val="00801066"/>
    <w:rsid w:val="00880ACD"/>
    <w:rsid w:val="0089006D"/>
    <w:rsid w:val="00A96D54"/>
    <w:rsid w:val="00B42798"/>
    <w:rsid w:val="00B96A68"/>
    <w:rsid w:val="00BD51F7"/>
    <w:rsid w:val="00C7692F"/>
    <w:rsid w:val="00CA5E32"/>
    <w:rsid w:val="00CC1A9D"/>
    <w:rsid w:val="00CC7334"/>
    <w:rsid w:val="00CC741A"/>
    <w:rsid w:val="00CD2C05"/>
    <w:rsid w:val="00D80752"/>
    <w:rsid w:val="00DB49E8"/>
    <w:rsid w:val="00DD193B"/>
    <w:rsid w:val="00EA770C"/>
    <w:rsid w:val="00F473DF"/>
    <w:rsid w:val="00F8559A"/>
    <w:rsid w:val="00F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D061"/>
  <w15:chartTrackingRefBased/>
  <w15:docId w15:val="{D4BC79AC-15C5-43D6-A2CA-E36CFD29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0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0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0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0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B075-DC54-431B-9619-F9BEFBA1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31</cp:revision>
  <dcterms:created xsi:type="dcterms:W3CDTF">2026-02-06T13:45:00Z</dcterms:created>
  <dcterms:modified xsi:type="dcterms:W3CDTF">2026-02-09T13:26:00Z</dcterms:modified>
</cp:coreProperties>
</file>