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5B621C" w:rsidRPr="005B621C" w:rsidRDefault="005B621C" w:rsidP="005B621C">
      <w:pPr>
        <w:ind w:firstLine="720"/>
        <w:rPr>
          <w:sz w:val="24"/>
          <w:szCs w:val="24"/>
          <w:lang w:val="sr-Cyrl-RS"/>
        </w:rPr>
      </w:pPr>
      <w:proofErr w:type="spellStart"/>
      <w:proofErr w:type="gram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20, 32.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46.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локалној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самоуправи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Службени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</w:t>
      </w:r>
      <w:proofErr w:type="gramStart"/>
      <w:r>
        <w:rPr>
          <w:sz w:val="24"/>
          <w:szCs w:val="24"/>
        </w:rPr>
        <w:t>“ бр.129</w:t>
      </w:r>
      <w:proofErr w:type="gramEnd"/>
      <w:r>
        <w:rPr>
          <w:sz w:val="24"/>
          <w:szCs w:val="24"/>
        </w:rPr>
        <w:t xml:space="preserve">/07, 83/2014-др.закон, 101/2016 –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Закон</w:t>
      </w:r>
      <w:proofErr w:type="spellEnd"/>
      <w:r>
        <w:rPr>
          <w:sz w:val="24"/>
          <w:szCs w:val="24"/>
        </w:rPr>
        <w:t xml:space="preserve"> и 47/2018),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13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комуналним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делатностима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Службени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РС“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бр.88/2011, 104/2016 и 95/2018),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40. </w:t>
      </w:r>
      <w:proofErr w:type="spellStart"/>
      <w:r>
        <w:rPr>
          <w:sz w:val="24"/>
          <w:szCs w:val="24"/>
        </w:rPr>
        <w:t>Статута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Лесковца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бр</w:t>
      </w:r>
      <w:proofErr w:type="spellEnd"/>
      <w:proofErr w:type="gramEnd"/>
      <w:r>
        <w:rPr>
          <w:sz w:val="24"/>
          <w:szCs w:val="24"/>
        </w:rPr>
        <w:t xml:space="preserve">. 8/2019),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и чл.153. </w:t>
      </w:r>
      <w:proofErr w:type="spellStart"/>
      <w:proofErr w:type="gramStart"/>
      <w:r>
        <w:rPr>
          <w:sz w:val="24"/>
          <w:szCs w:val="24"/>
        </w:rPr>
        <w:t>Пословника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Скупштине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(''</w:t>
      </w:r>
      <w:proofErr w:type="spellStart"/>
      <w:r>
        <w:rPr>
          <w:sz w:val="24"/>
          <w:szCs w:val="24"/>
        </w:rPr>
        <w:t>Службни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Лесковца</w:t>
      </w:r>
      <w:proofErr w:type="spellEnd"/>
      <w:r>
        <w:rPr>
          <w:sz w:val="24"/>
          <w:szCs w:val="24"/>
        </w:rPr>
        <w:t xml:space="preserve">'',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9/2019) </w:t>
      </w:r>
      <w:proofErr w:type="spellStart"/>
      <w:r>
        <w:rPr>
          <w:sz w:val="24"/>
          <w:szCs w:val="24"/>
        </w:rPr>
        <w:t>Скупштина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седници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одржаној 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новембра</w:t>
      </w:r>
      <w:proofErr w:type="spellEnd"/>
      <w:r>
        <w:rPr>
          <w:sz w:val="24"/>
          <w:szCs w:val="24"/>
        </w:rPr>
        <w:t xml:space="preserve"> 2019.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дон</w:t>
      </w:r>
      <w:proofErr w:type="spellEnd"/>
      <w:r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>с</w:t>
      </w:r>
      <w:r>
        <w:rPr>
          <w:sz w:val="24"/>
          <w:szCs w:val="24"/>
          <w:lang w:val="sr-Cyrl-RS"/>
        </w:rPr>
        <w:t xml:space="preserve">и                                                                                            </w:t>
      </w:r>
    </w:p>
    <w:p w:rsidR="005B621C" w:rsidRDefault="005B621C" w:rsidP="005B621C">
      <w:pPr>
        <w:pStyle w:val="NoSpacing"/>
        <w:jc w:val="both"/>
      </w:pPr>
    </w:p>
    <w:p w:rsidR="005B621C" w:rsidRDefault="005B621C" w:rsidP="005B621C">
      <w:pPr>
        <w:pStyle w:val="NoSpacing"/>
        <w:jc w:val="center"/>
      </w:pPr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ОДЛУКУ </w:t>
      </w:r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 ПОГРЕБНОЈ ДЕЛАТНОСТИ НА ТЕРИТОРИЈИ ОПШТИНЕ МЕДВЕЂА</w:t>
      </w:r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1.</w:t>
      </w:r>
      <w:proofErr w:type="gramEnd"/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Под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погребним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делатностима</w:t>
      </w:r>
      <w:proofErr w:type="spellEnd"/>
      <w:r>
        <w:rPr>
          <w:rFonts w:eastAsia="Calibri"/>
          <w:sz w:val="24"/>
          <w:szCs w:val="24"/>
        </w:rPr>
        <w:t xml:space="preserve"> у </w:t>
      </w:r>
      <w:proofErr w:type="spellStart"/>
      <w:r>
        <w:rPr>
          <w:rFonts w:eastAsia="Calibri"/>
          <w:sz w:val="24"/>
          <w:szCs w:val="24"/>
        </w:rPr>
        <w:t>смислу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одредаба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Одлуке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сматра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преузимање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превоз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посмртних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остатака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места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смрти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односно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места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налази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умрла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особа</w:t>
      </w:r>
      <w:proofErr w:type="spellEnd"/>
      <w:r>
        <w:rPr>
          <w:rFonts w:eastAsia="Calibri"/>
          <w:sz w:val="24"/>
          <w:szCs w:val="24"/>
        </w:rPr>
        <w:t xml:space="preserve"> (</w:t>
      </w:r>
      <w:proofErr w:type="spellStart"/>
      <w:r>
        <w:rPr>
          <w:rFonts w:eastAsia="Calibri"/>
          <w:sz w:val="24"/>
          <w:szCs w:val="24"/>
        </w:rPr>
        <w:t>стан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здравствена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установа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институт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судску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медицину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патологију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установе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социјалне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заштите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друга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места</w:t>
      </w:r>
      <w:proofErr w:type="spellEnd"/>
      <w:r>
        <w:rPr>
          <w:rFonts w:eastAsia="Calibri"/>
          <w:sz w:val="24"/>
          <w:szCs w:val="24"/>
        </w:rPr>
        <w:t xml:space="preserve">) и </w:t>
      </w:r>
      <w:proofErr w:type="spellStart"/>
      <w:r>
        <w:rPr>
          <w:rFonts w:eastAsia="Calibri"/>
          <w:sz w:val="24"/>
          <w:szCs w:val="24"/>
        </w:rPr>
        <w:t>превоз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места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одређеног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посебним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прописом</w:t>
      </w:r>
      <w:proofErr w:type="spellEnd"/>
      <w:r>
        <w:rPr>
          <w:rFonts w:eastAsia="Calibri"/>
          <w:sz w:val="24"/>
          <w:szCs w:val="24"/>
        </w:rPr>
        <w:t xml:space="preserve"> (</w:t>
      </w:r>
      <w:proofErr w:type="spellStart"/>
      <w:r>
        <w:rPr>
          <w:rFonts w:eastAsia="Calibri"/>
          <w:sz w:val="24"/>
          <w:szCs w:val="24"/>
        </w:rPr>
        <w:t>патологије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судске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медицине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гробља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крематоријума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аеродрома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пословног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простора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погребног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предузећа</w:t>
      </w:r>
      <w:proofErr w:type="spellEnd"/>
      <w:r>
        <w:rPr>
          <w:rFonts w:eastAsia="Calibri"/>
          <w:sz w:val="24"/>
          <w:szCs w:val="24"/>
        </w:rPr>
        <w:t xml:space="preserve"> у </w:t>
      </w:r>
      <w:proofErr w:type="spellStart"/>
      <w:r>
        <w:rPr>
          <w:rFonts w:eastAsia="Calibri"/>
          <w:sz w:val="24"/>
          <w:szCs w:val="24"/>
        </w:rPr>
        <w:t>ком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постоје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прописани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смештај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чување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покојника</w:t>
      </w:r>
      <w:proofErr w:type="spellEnd"/>
      <w:r>
        <w:rPr>
          <w:rFonts w:eastAsia="Calibri"/>
          <w:sz w:val="24"/>
          <w:szCs w:val="24"/>
        </w:rPr>
        <w:t xml:space="preserve">), </w:t>
      </w:r>
      <w:proofErr w:type="spellStart"/>
      <w:r>
        <w:rPr>
          <w:rFonts w:eastAsia="Calibri"/>
          <w:sz w:val="24"/>
          <w:szCs w:val="24"/>
        </w:rPr>
        <w:t>организација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сахране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испраћаја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прибављањем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потребне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документације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организацију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превоза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сахрањивања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чување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посмртних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остатака</w:t>
      </w:r>
      <w:proofErr w:type="spellEnd"/>
      <w:r>
        <w:rPr>
          <w:rFonts w:eastAsia="Calibri"/>
          <w:sz w:val="24"/>
          <w:szCs w:val="24"/>
        </w:rPr>
        <w:t xml:space="preserve"> у </w:t>
      </w:r>
      <w:proofErr w:type="spellStart"/>
      <w:r>
        <w:rPr>
          <w:rFonts w:eastAsia="Calibri"/>
          <w:sz w:val="24"/>
          <w:szCs w:val="24"/>
        </w:rPr>
        <w:t>расхладном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уређају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припремање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покојника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сахрањивање</w:t>
      </w:r>
      <w:proofErr w:type="spellEnd"/>
      <w:r>
        <w:rPr>
          <w:rFonts w:eastAsia="Calibri"/>
          <w:sz w:val="24"/>
          <w:szCs w:val="24"/>
        </w:rPr>
        <w:t>.</w:t>
      </w:r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2.</w:t>
      </w:r>
      <w:proofErr w:type="gramEnd"/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Пружање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погребних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обухвата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следеће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послове</w:t>
      </w:r>
      <w:proofErr w:type="spellEnd"/>
      <w:r>
        <w:rPr>
          <w:rFonts w:eastAsia="Calibri"/>
          <w:sz w:val="24"/>
          <w:szCs w:val="24"/>
        </w:rPr>
        <w:t>:</w:t>
      </w:r>
    </w:p>
    <w:p w:rsidR="005B621C" w:rsidRDefault="005B621C" w:rsidP="005B621C">
      <w:pPr>
        <w:pStyle w:val="ListParagraph"/>
        <w:numPr>
          <w:ilvl w:val="0"/>
          <w:numId w:val="8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преузимање и превоз посмртних остатака од места смрти, односно места на коме се налази умрла особа и превоз до места одређеног посебним прописом за смештај и чување покојника,</w:t>
      </w:r>
    </w:p>
    <w:p w:rsidR="005B621C" w:rsidRDefault="005B621C" w:rsidP="005B621C">
      <w:pPr>
        <w:pStyle w:val="ListParagraph"/>
        <w:numPr>
          <w:ilvl w:val="0"/>
          <w:numId w:val="8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организација сахране и испраћаја са прибављањем потребне документације за организацију превоза и сахрањивања,</w:t>
      </w:r>
    </w:p>
    <w:p w:rsidR="005B621C" w:rsidRDefault="005B621C" w:rsidP="005B621C">
      <w:pPr>
        <w:pStyle w:val="ListParagraph"/>
        <w:numPr>
          <w:ilvl w:val="0"/>
          <w:numId w:val="8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чување посмртних остатака у расхладном уређају и припремање покојника за сахрањивање.</w:t>
      </w:r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3.</w:t>
      </w:r>
      <w:proofErr w:type="gramEnd"/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Погребну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могу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јавно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предузеће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привредно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друштво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предузетник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или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други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привредни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субјекат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који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испуњава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услове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  <w:lang w:val="sr-Cyrl-RS"/>
        </w:rPr>
      </w:pPr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  <w:lang w:val="sr-Cyrl-RS"/>
        </w:rPr>
      </w:pPr>
    </w:p>
    <w:p w:rsidR="005B621C" w:rsidRP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  <w:lang w:val="sr-Cyrl-RS"/>
        </w:rPr>
      </w:pPr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4.</w:t>
      </w:r>
      <w:proofErr w:type="gramEnd"/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Преузимање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превоз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посмртних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остатака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умрлог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места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смрти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мртвачнице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гробљу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може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привредно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друштво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предузетник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други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приврдни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субјект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који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регистрован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услуге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испуњава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услове</w:t>
      </w:r>
      <w:proofErr w:type="spellEnd"/>
      <w:r>
        <w:rPr>
          <w:rFonts w:eastAsia="Calibri"/>
          <w:sz w:val="24"/>
          <w:szCs w:val="24"/>
        </w:rPr>
        <w:t xml:space="preserve"> у </w:t>
      </w:r>
      <w:proofErr w:type="spellStart"/>
      <w:r>
        <w:rPr>
          <w:rFonts w:eastAsia="Calibri"/>
          <w:sz w:val="24"/>
          <w:szCs w:val="24"/>
        </w:rPr>
        <w:t>складу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законом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овом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одлуком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5.</w:t>
      </w:r>
      <w:proofErr w:type="gramEnd"/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Субјекти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из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члана</w:t>
      </w:r>
      <w:proofErr w:type="spellEnd"/>
      <w:r>
        <w:rPr>
          <w:rFonts w:eastAsia="Calibri"/>
          <w:sz w:val="24"/>
          <w:szCs w:val="24"/>
        </w:rPr>
        <w:t xml:space="preserve"> 3.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/>
          <w:sz w:val="24"/>
          <w:szCs w:val="24"/>
        </w:rPr>
        <w:t>ове</w:t>
      </w:r>
      <w:proofErr w:type="spellEnd"/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Одлуке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који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обављају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погребну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дужни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придржавати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реда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гробљима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утврђеног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стране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јавног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предузећа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поверени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послови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управљања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гробљем</w:t>
      </w:r>
      <w:proofErr w:type="spellEnd"/>
      <w:r>
        <w:rPr>
          <w:rFonts w:eastAsia="Calibri"/>
          <w:sz w:val="24"/>
          <w:szCs w:val="24"/>
        </w:rPr>
        <w:t>.</w:t>
      </w:r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Захтев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проверу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6.</w:t>
      </w:r>
      <w:proofErr w:type="gramEnd"/>
      <w:r>
        <w:rPr>
          <w:rFonts w:eastAsia="Calibri"/>
          <w:sz w:val="24"/>
          <w:szCs w:val="24"/>
        </w:rPr>
        <w:t xml:space="preserve"> </w:t>
      </w:r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Јавно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предузеће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привредно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друштво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предузетник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или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други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привредни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субјект</w:t>
      </w:r>
      <w:proofErr w:type="spellEnd"/>
      <w:r>
        <w:rPr>
          <w:rFonts w:eastAsia="Calibri"/>
          <w:sz w:val="24"/>
          <w:szCs w:val="24"/>
        </w:rPr>
        <w:t xml:space="preserve"> (у </w:t>
      </w:r>
      <w:proofErr w:type="spellStart"/>
      <w:r>
        <w:rPr>
          <w:rFonts w:eastAsia="Calibri"/>
          <w:sz w:val="24"/>
          <w:szCs w:val="24"/>
        </w:rPr>
        <w:t>даљем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тексту</w:t>
      </w:r>
      <w:proofErr w:type="spellEnd"/>
      <w:r>
        <w:rPr>
          <w:rFonts w:eastAsia="Calibri"/>
          <w:sz w:val="24"/>
          <w:szCs w:val="24"/>
        </w:rPr>
        <w:t xml:space="preserve">: </w:t>
      </w:r>
      <w:proofErr w:type="spellStart"/>
      <w:r>
        <w:rPr>
          <w:rFonts w:eastAsia="Calibri"/>
          <w:sz w:val="24"/>
          <w:szCs w:val="24"/>
        </w:rPr>
        <w:t>подносилац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захтева</w:t>
      </w:r>
      <w:proofErr w:type="spellEnd"/>
      <w:r>
        <w:rPr>
          <w:rFonts w:eastAsia="Calibri"/>
          <w:sz w:val="24"/>
          <w:szCs w:val="24"/>
        </w:rPr>
        <w:t xml:space="preserve">), </w:t>
      </w:r>
      <w:proofErr w:type="spellStart"/>
      <w:r>
        <w:rPr>
          <w:rFonts w:eastAsia="Calibri"/>
          <w:sz w:val="24"/>
          <w:szCs w:val="24"/>
        </w:rPr>
        <w:t>подноси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проверу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министарству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надлежном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послове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>.</w:t>
      </w:r>
    </w:p>
    <w:p w:rsidR="005B621C" w:rsidRDefault="005B621C" w:rsidP="005B621C">
      <w:pPr>
        <w:spacing w:before="0" w:line="276" w:lineRule="auto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Захтев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из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става</w:t>
      </w:r>
      <w:proofErr w:type="spellEnd"/>
      <w:r>
        <w:rPr>
          <w:rFonts w:eastAsia="Calibri"/>
          <w:sz w:val="24"/>
          <w:szCs w:val="24"/>
        </w:rPr>
        <w:t xml:space="preserve"> 1.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/>
          <w:sz w:val="24"/>
          <w:szCs w:val="24"/>
        </w:rPr>
        <w:t>овог</w:t>
      </w:r>
      <w:proofErr w:type="spellEnd"/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члана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подноси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сваку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појединачно</w:t>
      </w:r>
      <w:proofErr w:type="spellEnd"/>
      <w:r>
        <w:rPr>
          <w:rFonts w:eastAsia="Calibri"/>
          <w:sz w:val="24"/>
          <w:szCs w:val="24"/>
        </w:rPr>
        <w:t>.</w:t>
      </w:r>
    </w:p>
    <w:p w:rsidR="005B621C" w:rsidRDefault="005B621C" w:rsidP="005B621C">
      <w:pPr>
        <w:spacing w:before="0" w:line="276" w:lineRule="auto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line="276" w:lineRule="auto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Захтев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из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става</w:t>
      </w:r>
      <w:proofErr w:type="spellEnd"/>
      <w:r>
        <w:rPr>
          <w:rFonts w:eastAsia="Calibri"/>
          <w:sz w:val="24"/>
          <w:szCs w:val="24"/>
        </w:rPr>
        <w:t xml:space="preserve"> 1.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/>
          <w:sz w:val="24"/>
          <w:szCs w:val="24"/>
        </w:rPr>
        <w:t>овог</w:t>
      </w:r>
      <w:proofErr w:type="spellEnd"/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члана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садржи</w:t>
      </w:r>
      <w:proofErr w:type="spellEnd"/>
      <w:r>
        <w:rPr>
          <w:rFonts w:eastAsia="Calibri"/>
          <w:sz w:val="24"/>
          <w:szCs w:val="24"/>
        </w:rPr>
        <w:t>:</w:t>
      </w:r>
    </w:p>
    <w:p w:rsidR="005B621C" w:rsidRDefault="005B621C" w:rsidP="005B621C">
      <w:pPr>
        <w:pStyle w:val="ListParagraph"/>
        <w:numPr>
          <w:ilvl w:val="0"/>
          <w:numId w:val="6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пословно име подносиоца захтева;</w:t>
      </w:r>
    </w:p>
    <w:p w:rsidR="005B621C" w:rsidRDefault="005B621C" w:rsidP="005B621C">
      <w:pPr>
        <w:pStyle w:val="ListParagraph"/>
        <w:numPr>
          <w:ilvl w:val="0"/>
          <w:numId w:val="6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седиште подносиоца захтева;</w:t>
      </w:r>
    </w:p>
    <w:p w:rsidR="005B621C" w:rsidRDefault="005B621C" w:rsidP="005B621C">
      <w:pPr>
        <w:pStyle w:val="ListParagraph"/>
        <w:numPr>
          <w:ilvl w:val="0"/>
          <w:numId w:val="6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извод о регистрованим подацима из надлежног регистра;</w:t>
      </w:r>
    </w:p>
    <w:p w:rsidR="005B621C" w:rsidRDefault="005B621C" w:rsidP="005B621C">
      <w:pPr>
        <w:pStyle w:val="ListParagraph"/>
        <w:numPr>
          <w:ilvl w:val="0"/>
          <w:numId w:val="6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порески идентификациони број подносиоца захтева;</w:t>
      </w:r>
    </w:p>
    <w:p w:rsidR="005B621C" w:rsidRDefault="005B621C" w:rsidP="005B621C">
      <w:pPr>
        <w:pStyle w:val="ListParagraph"/>
        <w:numPr>
          <w:ilvl w:val="0"/>
          <w:numId w:val="6"/>
        </w:numPr>
        <w:tabs>
          <w:tab w:val="clear" w:pos="-142"/>
          <w:tab w:val="clear" w:pos="709"/>
        </w:tabs>
        <w:suppressAutoHyphens w:val="0"/>
        <w:spacing w:before="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назив комуналне делатности на коју се захтев односи.</w:t>
      </w:r>
    </w:p>
    <w:p w:rsidR="005B621C" w:rsidRDefault="005B621C" w:rsidP="005B621C">
      <w:pPr>
        <w:pStyle w:val="ListParagraph"/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eastAsia="Calibri" w:hAnsi="Times New Roman"/>
          <w:sz w:val="24"/>
          <w:szCs w:val="24"/>
        </w:rPr>
      </w:pPr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Подносилац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подноси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проверу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министарству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надлежном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послове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доношења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одлуке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скупштине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јединице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локалне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самоуправе</w:t>
      </w:r>
      <w:proofErr w:type="spellEnd"/>
      <w:r>
        <w:rPr>
          <w:rFonts w:eastAsia="Calibri"/>
          <w:sz w:val="24"/>
          <w:szCs w:val="24"/>
        </w:rPr>
        <w:t xml:space="preserve"> о </w:t>
      </w:r>
      <w:proofErr w:type="spellStart"/>
      <w:r>
        <w:rPr>
          <w:rFonts w:eastAsia="Calibri"/>
          <w:sz w:val="24"/>
          <w:szCs w:val="24"/>
        </w:rPr>
        <w:t>поверавању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7.</w:t>
      </w:r>
      <w:proofErr w:type="gramEnd"/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Захтев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проверу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поред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документације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којом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доказује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посебних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прописаних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сваку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обавезно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треба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садржи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оригинал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или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копију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оверену</w:t>
      </w:r>
      <w:proofErr w:type="spellEnd"/>
      <w:r>
        <w:rPr>
          <w:rFonts w:eastAsia="Calibri"/>
          <w:sz w:val="24"/>
          <w:szCs w:val="24"/>
        </w:rPr>
        <w:t xml:space="preserve"> у </w:t>
      </w:r>
      <w:proofErr w:type="spellStart"/>
      <w:r>
        <w:rPr>
          <w:rFonts w:eastAsia="Calibri"/>
          <w:sz w:val="24"/>
          <w:szCs w:val="24"/>
        </w:rPr>
        <w:lastRenderedPageBreak/>
        <w:t>складу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прописом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којим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уређује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овера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потписа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рукописа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преписа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следећих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докумената</w:t>
      </w:r>
      <w:proofErr w:type="spellEnd"/>
      <w:r>
        <w:rPr>
          <w:rFonts w:eastAsia="Calibri"/>
          <w:sz w:val="24"/>
          <w:szCs w:val="24"/>
        </w:rPr>
        <w:t>:</w:t>
      </w:r>
    </w:p>
    <w:p w:rsidR="005B621C" w:rsidRDefault="005B621C" w:rsidP="005B621C">
      <w:pPr>
        <w:pStyle w:val="ListParagraph"/>
        <w:numPr>
          <w:ilvl w:val="0"/>
          <w:numId w:val="7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оснивачког акта;</w:t>
      </w:r>
    </w:p>
    <w:p w:rsidR="005B621C" w:rsidRDefault="005B621C" w:rsidP="005B621C">
      <w:pPr>
        <w:pStyle w:val="ListParagraph"/>
        <w:numPr>
          <w:ilvl w:val="0"/>
          <w:numId w:val="7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општег акта којим је утврђена систематизација радних места, односно извода из тог акта у делу који се односи на обављање комуналне делатности;</w:t>
      </w:r>
    </w:p>
    <w:p w:rsidR="005B621C" w:rsidRDefault="005B621C" w:rsidP="005B621C">
      <w:pPr>
        <w:pStyle w:val="ListParagraph"/>
        <w:numPr>
          <w:ilvl w:val="0"/>
          <w:numId w:val="7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уверење надлежног пореског органа којим се потврђује да су измирене све пореске обавезе и обавезе по основу доприноса;</w:t>
      </w:r>
    </w:p>
    <w:p w:rsidR="005B621C" w:rsidRDefault="005B621C" w:rsidP="005B621C">
      <w:pPr>
        <w:pStyle w:val="ListParagraph"/>
        <w:numPr>
          <w:ilvl w:val="0"/>
          <w:numId w:val="7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акта надлежног органа којим се потврђује да законски заступник подносиоца захтева није правоснажно осуђиван за кривично дело које га чини недостојним или неподобним за обављање комуналне делатности;</w:t>
      </w:r>
    </w:p>
    <w:p w:rsidR="005B621C" w:rsidRDefault="005B621C" w:rsidP="005B621C">
      <w:pPr>
        <w:pStyle w:val="ListParagraph"/>
        <w:numPr>
          <w:ilvl w:val="0"/>
          <w:numId w:val="7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доказа о одговарајућем броју стручно оспособљених кадрова појединачно за сваку комуналну делатност у складу са овом уредбом;</w:t>
      </w:r>
    </w:p>
    <w:p w:rsidR="005B621C" w:rsidRDefault="005B621C" w:rsidP="005B621C">
      <w:pPr>
        <w:pStyle w:val="ListParagraph"/>
        <w:numPr>
          <w:ilvl w:val="0"/>
          <w:numId w:val="7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доказа у погледу техничког капацитета појединачно за сваку комуналну делатност у складу с</w:t>
      </w:r>
      <w:r>
        <w:rPr>
          <w:rFonts w:ascii="Times New Roman" w:eastAsia="Calibri" w:hAnsi="Times New Roman"/>
          <w:color w:val="000000"/>
          <w:sz w:val="24"/>
          <w:szCs w:val="24"/>
        </w:rPr>
        <w:t>а Уредбом о начину и условима за отпочињање обављања комуналних делатности;</w:t>
      </w:r>
    </w:p>
    <w:p w:rsidR="005B621C" w:rsidRDefault="005B621C" w:rsidP="005B621C">
      <w:pPr>
        <w:pStyle w:val="ListParagraph"/>
        <w:numPr>
          <w:ilvl w:val="0"/>
          <w:numId w:val="7"/>
        </w:numPr>
        <w:tabs>
          <w:tab w:val="clear" w:pos="-142"/>
          <w:tab w:val="clear" w:pos="709"/>
        </w:tabs>
        <w:suppressAutoHyphens w:val="0"/>
        <w:spacing w:before="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доказа о уплати републичке административне таксе за издавање решења.</w:t>
      </w:r>
    </w:p>
    <w:p w:rsidR="005B621C" w:rsidRDefault="005B621C" w:rsidP="005B621C">
      <w:pPr>
        <w:pStyle w:val="ListParagraph"/>
        <w:tabs>
          <w:tab w:val="clear" w:pos="-142"/>
          <w:tab w:val="clear" w:pos="709"/>
        </w:tabs>
        <w:suppressAutoHyphens w:val="0"/>
        <w:spacing w:before="0"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5B621C" w:rsidRDefault="005B621C" w:rsidP="005B621C">
      <w:pPr>
        <w:pStyle w:val="ListParagraph"/>
        <w:tabs>
          <w:tab w:val="clear" w:pos="-142"/>
          <w:tab w:val="clear" w:pos="709"/>
        </w:tabs>
        <w:suppressAutoHyphens w:val="0"/>
        <w:spacing w:before="0" w:after="200" w:line="276" w:lineRule="auto"/>
        <w:ind w:left="0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Подносилац захтева одговарајући број стручно оспособљених кадрова доказује достављањем копије оверене у складу са прописом којим се уређује овера потписа, рукописа и преписа следећих докумената:</w:t>
      </w:r>
    </w:p>
    <w:p w:rsidR="005B621C" w:rsidRDefault="005B621C" w:rsidP="005B621C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уговора о раду;</w:t>
      </w:r>
    </w:p>
    <w:p w:rsidR="005B621C" w:rsidRDefault="005B621C" w:rsidP="005B621C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дипломе, односно друге документације (уверење, сведочанство);</w:t>
      </w:r>
    </w:p>
    <w:p w:rsidR="005B621C" w:rsidRDefault="005B621C" w:rsidP="005B621C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сертификата, лиценци и друге документације којом се доказује испуњеност посебних услова прописаних за сваку комуналну делатност;</w:t>
      </w:r>
    </w:p>
    <w:p w:rsidR="005B621C" w:rsidRDefault="005B621C" w:rsidP="005B621C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дозвола одговарајуће категорије за управљање машинама и возилима.</w:t>
      </w:r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Подносилац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опремљеност</w:t>
      </w:r>
      <w:proofErr w:type="spellEnd"/>
      <w:r>
        <w:rPr>
          <w:rFonts w:eastAsia="Calibri"/>
          <w:sz w:val="24"/>
          <w:szCs w:val="24"/>
        </w:rPr>
        <w:t xml:space="preserve"> у </w:t>
      </w:r>
      <w:proofErr w:type="spellStart"/>
      <w:r>
        <w:rPr>
          <w:rFonts w:eastAsia="Calibri"/>
          <w:sz w:val="24"/>
          <w:szCs w:val="24"/>
        </w:rPr>
        <w:t>погледу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техничког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капацитета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доказује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достављањем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копије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оверене</w:t>
      </w:r>
      <w:proofErr w:type="spellEnd"/>
      <w:r>
        <w:rPr>
          <w:rFonts w:eastAsia="Calibri"/>
          <w:sz w:val="24"/>
          <w:szCs w:val="24"/>
        </w:rPr>
        <w:t xml:space="preserve"> у </w:t>
      </w:r>
      <w:proofErr w:type="spellStart"/>
      <w:r>
        <w:rPr>
          <w:rFonts w:eastAsia="Calibri"/>
          <w:sz w:val="24"/>
          <w:szCs w:val="24"/>
        </w:rPr>
        <w:t>складу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прописом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којим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уређује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овера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потписа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рукописа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преписа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следећих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докумената</w:t>
      </w:r>
      <w:proofErr w:type="spellEnd"/>
      <w:r>
        <w:rPr>
          <w:rFonts w:eastAsia="Calibri"/>
          <w:sz w:val="24"/>
          <w:szCs w:val="24"/>
        </w:rPr>
        <w:t>:</w:t>
      </w:r>
    </w:p>
    <w:p w:rsidR="005B621C" w:rsidRDefault="005B621C" w:rsidP="005B621C">
      <w:pPr>
        <w:pStyle w:val="ListParagraph"/>
        <w:numPr>
          <w:ilvl w:val="0"/>
          <w:numId w:val="5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доказа о поседовању опреме прописане </w:t>
      </w:r>
      <w:r>
        <w:rPr>
          <w:rFonts w:ascii="Times New Roman" w:eastAsia="Calibri" w:hAnsi="Times New Roman"/>
          <w:color w:val="000000"/>
          <w:sz w:val="24"/>
          <w:szCs w:val="24"/>
        </w:rPr>
        <w:t>Уредбом о начину и условима за отпочињање обављања комуналних делатности</w:t>
      </w:r>
      <w:r>
        <w:rPr>
          <w:rFonts w:ascii="Times New Roman" w:eastAsia="Calibri" w:hAnsi="Times New Roman"/>
          <w:sz w:val="24"/>
          <w:szCs w:val="24"/>
        </w:rPr>
        <w:t xml:space="preserve"> (саобраћајна дозвола, уговор о куповини, уговор о лизингу, уговор о закупу закљученог на најмање 12 месеци и други уговори и пописана листа);</w:t>
      </w:r>
    </w:p>
    <w:p w:rsidR="005B621C" w:rsidRDefault="005B621C" w:rsidP="005B621C">
      <w:pPr>
        <w:pStyle w:val="ListParagraph"/>
        <w:numPr>
          <w:ilvl w:val="0"/>
          <w:numId w:val="5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доказа о правном основу за коришћење простора намењеног обављању комуналне делатности;</w:t>
      </w:r>
    </w:p>
    <w:p w:rsidR="005B621C" w:rsidRDefault="005B621C" w:rsidP="005B621C">
      <w:pPr>
        <w:pStyle w:val="ListParagraph"/>
        <w:numPr>
          <w:ilvl w:val="0"/>
          <w:numId w:val="5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доказа о исправности опреме прописане овом уредбом (гарантни лист, доказ о обављеном техничком прегледу, атест и др.).</w:t>
      </w:r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подносиоца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проверу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који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поред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коју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подноси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обавља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још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једну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или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више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проверава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lastRenderedPageBreak/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узимајући</w:t>
      </w:r>
      <w:proofErr w:type="spellEnd"/>
      <w:r>
        <w:rPr>
          <w:rFonts w:eastAsia="Calibri"/>
          <w:sz w:val="24"/>
          <w:szCs w:val="24"/>
        </w:rPr>
        <w:t xml:space="preserve"> у </w:t>
      </w:r>
      <w:proofErr w:type="spellStart"/>
      <w:r>
        <w:rPr>
          <w:rFonts w:eastAsia="Calibri"/>
          <w:sz w:val="24"/>
          <w:szCs w:val="24"/>
        </w:rPr>
        <w:t>обзир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укупан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потенцијал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расположивих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кадровских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техничких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капацитета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>.</w:t>
      </w:r>
    </w:p>
    <w:p w:rsidR="005B621C" w:rsidRDefault="005B621C" w:rsidP="005B621C">
      <w:pPr>
        <w:spacing w:before="0" w:line="276" w:lineRule="auto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line="276" w:lineRule="auto"/>
        <w:ind w:firstLine="708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Минимални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морају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вршиоци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погребну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</w:t>
      </w:r>
      <w:proofErr w:type="spellEnd"/>
    </w:p>
    <w:p w:rsidR="005B621C" w:rsidRDefault="005B621C" w:rsidP="005B621C">
      <w:pPr>
        <w:spacing w:before="0" w:line="276" w:lineRule="auto"/>
        <w:jc w:val="center"/>
        <w:rPr>
          <w:rFonts w:eastAsia="Calibri"/>
          <w:b/>
          <w:sz w:val="24"/>
          <w:szCs w:val="24"/>
        </w:rPr>
      </w:pPr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8.</w:t>
      </w:r>
      <w:proofErr w:type="gramEnd"/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Подносилац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проверу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погребна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мора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има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најмање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три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запослених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без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обзира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степен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образовања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9.</w:t>
      </w:r>
      <w:proofErr w:type="gramEnd"/>
    </w:p>
    <w:p w:rsidR="005B621C" w:rsidRDefault="005B621C" w:rsidP="005B621C">
      <w:pPr>
        <w:spacing w:before="0" w:line="276" w:lineRule="auto"/>
        <w:jc w:val="center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Подносилац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захтева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проверу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испуњености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отпочињање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погребне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мора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има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минимални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техички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капацитет</w:t>
      </w:r>
      <w:proofErr w:type="spellEnd"/>
      <w:r>
        <w:rPr>
          <w:rFonts w:eastAsia="Calibri"/>
          <w:sz w:val="24"/>
          <w:szCs w:val="24"/>
        </w:rPr>
        <w:t>:</w:t>
      </w:r>
    </w:p>
    <w:tbl>
      <w:tblPr>
        <w:tblW w:w="928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237"/>
        <w:gridCol w:w="2234"/>
      </w:tblGrid>
      <w:tr w:rsidR="005B621C" w:rsidTr="00D466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бр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Технички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капацитет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Количина</w:t>
            </w:r>
            <w:proofErr w:type="spellEnd"/>
          </w:p>
        </w:tc>
      </w:tr>
      <w:tr w:rsidR="005B621C" w:rsidTr="00D466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Број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атестираних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возила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превоз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покојника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која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регистрована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подносиоца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захтева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B621C" w:rsidTr="00D466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Просторија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пословно-изложбени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простор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</w:tr>
      <w:tr w:rsidR="005B621C" w:rsidTr="00D466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Просторија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смештај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покојника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</w:rPr>
              <w:t>расхладна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комора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eastAsia="Calibri"/>
                <w:sz w:val="24"/>
                <w:szCs w:val="24"/>
              </w:rPr>
              <w:t>власништву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или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уговор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закупу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расхладне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коморе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најмање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покојника</w:t>
            </w:r>
            <w:proofErr w:type="spellEnd"/>
          </w:p>
        </w:tc>
      </w:tr>
      <w:tr w:rsidR="005B621C" w:rsidTr="00D466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Просторија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припремање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покојника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погреб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</w:tr>
      <w:tr w:rsidR="005B621C" w:rsidTr="00D466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Магацински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простор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 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</w:tr>
      <w:tr w:rsidR="005B621C" w:rsidTr="00D466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Обезбеђен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паркинг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простор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атестирана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возила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1C" w:rsidRDefault="005B621C" w:rsidP="00D46651">
            <w:p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 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</w:tr>
    </w:tbl>
    <w:p w:rsidR="005B621C" w:rsidRDefault="005B621C" w:rsidP="005B621C">
      <w:pPr>
        <w:spacing w:before="0" w:after="200" w:line="276" w:lineRule="auto"/>
        <w:rPr>
          <w:rFonts w:eastAsia="Calibri"/>
          <w:sz w:val="24"/>
          <w:szCs w:val="24"/>
        </w:rPr>
      </w:pPr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color w:val="000000"/>
          <w:sz w:val="24"/>
          <w:szCs w:val="24"/>
        </w:rPr>
      </w:pPr>
      <w:proofErr w:type="spellStart"/>
      <w:proofErr w:type="gramStart"/>
      <w:r>
        <w:rPr>
          <w:rFonts w:eastAsia="Calibri"/>
          <w:color w:val="000000"/>
          <w:sz w:val="24"/>
          <w:szCs w:val="24"/>
        </w:rPr>
        <w:t>Вршиоци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комуналних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делатности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који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до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ступања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на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снагу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Уредбе</w:t>
      </w:r>
      <w:proofErr w:type="spellEnd"/>
      <w:r>
        <w:rPr>
          <w:rFonts w:eastAsia="Calibri"/>
          <w:color w:val="000000"/>
          <w:sz w:val="24"/>
          <w:szCs w:val="24"/>
        </w:rPr>
        <w:t xml:space="preserve"> о </w:t>
      </w:r>
      <w:proofErr w:type="spellStart"/>
      <w:r>
        <w:rPr>
          <w:rFonts w:eastAsia="Calibri"/>
          <w:color w:val="000000"/>
          <w:sz w:val="24"/>
          <w:szCs w:val="24"/>
        </w:rPr>
        <w:t>начину</w:t>
      </w:r>
      <w:proofErr w:type="spellEnd"/>
      <w:r>
        <w:rPr>
          <w:rFonts w:eastAsia="Calibri"/>
          <w:color w:val="000000"/>
          <w:sz w:val="24"/>
          <w:szCs w:val="24"/>
        </w:rPr>
        <w:t xml:space="preserve"> и </w:t>
      </w:r>
      <w:proofErr w:type="spellStart"/>
      <w:r>
        <w:rPr>
          <w:rFonts w:eastAsia="Calibri"/>
          <w:color w:val="000000"/>
          <w:sz w:val="24"/>
          <w:szCs w:val="24"/>
        </w:rPr>
        <w:t>условима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за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отпочињање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обављања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комуналних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делатности</w:t>
      </w:r>
      <w:proofErr w:type="spellEnd"/>
      <w:r>
        <w:rPr>
          <w:rFonts w:eastAsia="Calibri"/>
          <w:color w:val="000000"/>
          <w:sz w:val="24"/>
          <w:szCs w:val="24"/>
        </w:rPr>
        <w:t xml:space="preserve"> („</w:t>
      </w:r>
      <w:proofErr w:type="spellStart"/>
      <w:r>
        <w:rPr>
          <w:rFonts w:eastAsia="Calibri"/>
          <w:color w:val="000000"/>
          <w:sz w:val="24"/>
          <w:szCs w:val="24"/>
        </w:rPr>
        <w:t>Сл</w:t>
      </w:r>
      <w:proofErr w:type="spellEnd"/>
      <w:r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>
        <w:rPr>
          <w:rFonts w:eastAsia="Calibri"/>
          <w:color w:val="000000"/>
          <w:sz w:val="24"/>
          <w:szCs w:val="24"/>
        </w:rPr>
        <w:t>Гласник</w:t>
      </w:r>
      <w:proofErr w:type="spellEnd"/>
      <w:r>
        <w:rPr>
          <w:rFonts w:eastAsia="Calibri"/>
          <w:color w:val="000000"/>
          <w:sz w:val="24"/>
          <w:szCs w:val="24"/>
        </w:rPr>
        <w:t xml:space="preserve"> РС“, </w:t>
      </w:r>
      <w:proofErr w:type="spellStart"/>
      <w:r>
        <w:rPr>
          <w:rFonts w:eastAsia="Calibri"/>
          <w:color w:val="000000"/>
          <w:sz w:val="24"/>
          <w:szCs w:val="24"/>
        </w:rPr>
        <w:t>бр</w:t>
      </w:r>
      <w:proofErr w:type="spellEnd"/>
      <w:r>
        <w:rPr>
          <w:rFonts w:eastAsia="Calibri"/>
          <w:color w:val="000000"/>
          <w:sz w:val="24"/>
          <w:szCs w:val="24"/>
        </w:rPr>
        <w:t xml:space="preserve">. 13/2018, 66/2018 и 51/2019) </w:t>
      </w:r>
      <w:proofErr w:type="spellStart"/>
      <w:r>
        <w:rPr>
          <w:rFonts w:eastAsia="Calibri"/>
          <w:color w:val="000000"/>
          <w:sz w:val="24"/>
          <w:szCs w:val="24"/>
        </w:rPr>
        <w:t>обављали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комуналну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делатност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немају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обавезу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поднесу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захтев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за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утврђивање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испуњености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услова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за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отпочињање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обављања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комуналних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делатности</w:t>
      </w:r>
      <w:proofErr w:type="spellEnd"/>
      <w:r>
        <w:rPr>
          <w:rFonts w:eastAsia="Calibri"/>
          <w:color w:val="000000"/>
          <w:sz w:val="24"/>
          <w:szCs w:val="24"/>
        </w:rPr>
        <w:t>.</w:t>
      </w:r>
      <w:proofErr w:type="gram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/>
          <w:color w:val="000000"/>
          <w:sz w:val="24"/>
          <w:szCs w:val="24"/>
        </w:rPr>
        <w:t>Међутим</w:t>
      </w:r>
      <w:proofErr w:type="spellEnd"/>
      <w:r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/>
          <w:color w:val="000000"/>
          <w:sz w:val="24"/>
          <w:szCs w:val="24"/>
        </w:rPr>
        <w:t>дужни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у </w:t>
      </w:r>
      <w:proofErr w:type="spellStart"/>
      <w:r>
        <w:rPr>
          <w:rFonts w:eastAsia="Calibri"/>
          <w:color w:val="000000"/>
          <w:sz w:val="24"/>
          <w:szCs w:val="24"/>
        </w:rPr>
        <w:t>законском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року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од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три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месеца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од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дана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ступања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на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снагу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Уредбе</w:t>
      </w:r>
      <w:proofErr w:type="spellEnd"/>
      <w:r>
        <w:rPr>
          <w:rFonts w:eastAsia="Calibri"/>
          <w:color w:val="000000"/>
          <w:sz w:val="24"/>
          <w:szCs w:val="24"/>
        </w:rPr>
        <w:t xml:space="preserve"> (22. </w:t>
      </w:r>
      <w:proofErr w:type="spellStart"/>
      <w:r>
        <w:rPr>
          <w:rFonts w:eastAsia="Calibri"/>
          <w:color w:val="000000"/>
          <w:sz w:val="24"/>
          <w:szCs w:val="24"/>
        </w:rPr>
        <w:t>мај</w:t>
      </w:r>
      <w:proofErr w:type="spellEnd"/>
      <w:r>
        <w:rPr>
          <w:rFonts w:eastAsia="Calibri"/>
          <w:color w:val="000000"/>
          <w:sz w:val="24"/>
          <w:szCs w:val="24"/>
        </w:rPr>
        <w:t xml:space="preserve"> 2018. </w:t>
      </w:r>
      <w:proofErr w:type="spellStart"/>
      <w:r>
        <w:rPr>
          <w:rFonts w:eastAsia="Calibri"/>
          <w:color w:val="000000"/>
          <w:sz w:val="24"/>
          <w:szCs w:val="24"/>
        </w:rPr>
        <w:t>године</w:t>
      </w:r>
      <w:proofErr w:type="spellEnd"/>
      <w:r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/>
          <w:color w:val="000000"/>
          <w:sz w:val="24"/>
          <w:szCs w:val="24"/>
        </w:rPr>
        <w:t>односно</w:t>
      </w:r>
      <w:proofErr w:type="spellEnd"/>
      <w:r>
        <w:rPr>
          <w:rFonts w:eastAsia="Calibri"/>
          <w:color w:val="000000"/>
          <w:sz w:val="24"/>
          <w:szCs w:val="24"/>
        </w:rPr>
        <w:t xml:space="preserve"> 6. </w:t>
      </w:r>
      <w:proofErr w:type="spellStart"/>
      <w:r>
        <w:rPr>
          <w:rFonts w:eastAsia="Calibri"/>
          <w:color w:val="000000"/>
          <w:sz w:val="24"/>
          <w:szCs w:val="24"/>
        </w:rPr>
        <w:t>децембра</w:t>
      </w:r>
      <w:proofErr w:type="spellEnd"/>
      <w:r>
        <w:rPr>
          <w:rFonts w:eastAsia="Calibri"/>
          <w:color w:val="000000"/>
          <w:sz w:val="24"/>
          <w:szCs w:val="24"/>
        </w:rPr>
        <w:t xml:space="preserve"> 2018. </w:t>
      </w:r>
      <w:proofErr w:type="spellStart"/>
      <w:r>
        <w:rPr>
          <w:rFonts w:eastAsia="Calibri"/>
          <w:color w:val="000000"/>
          <w:sz w:val="24"/>
          <w:szCs w:val="24"/>
        </w:rPr>
        <w:t>године</w:t>
      </w:r>
      <w:proofErr w:type="spellEnd"/>
      <w:r>
        <w:rPr>
          <w:rFonts w:eastAsia="Calibri"/>
          <w:color w:val="000000"/>
          <w:sz w:val="24"/>
          <w:szCs w:val="24"/>
        </w:rPr>
        <w:t xml:space="preserve">), </w:t>
      </w:r>
      <w:proofErr w:type="spellStart"/>
      <w:r>
        <w:rPr>
          <w:rFonts w:eastAsia="Calibri"/>
          <w:color w:val="000000"/>
          <w:sz w:val="24"/>
          <w:szCs w:val="24"/>
        </w:rPr>
        <w:t>ускладе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своје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пословање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Уредбом</w:t>
      </w:r>
      <w:proofErr w:type="spellEnd"/>
      <w:r>
        <w:rPr>
          <w:rFonts w:eastAsia="Calibri"/>
          <w:color w:val="000000"/>
          <w:sz w:val="24"/>
          <w:szCs w:val="24"/>
        </w:rPr>
        <w:t>.</w:t>
      </w:r>
      <w:proofErr w:type="gramEnd"/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10.</w:t>
      </w:r>
      <w:proofErr w:type="gramEnd"/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Надзор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применом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одредаба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Одлуке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врши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комунална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инспекција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општинске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управе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Медвеђа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lastRenderedPageBreak/>
        <w:t>Члан</w:t>
      </w:r>
      <w:proofErr w:type="spellEnd"/>
      <w:r>
        <w:rPr>
          <w:rFonts w:eastAsia="Calibri"/>
          <w:sz w:val="24"/>
          <w:szCs w:val="24"/>
        </w:rPr>
        <w:t xml:space="preserve"> 11.</w:t>
      </w:r>
      <w:proofErr w:type="gramEnd"/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Све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што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односи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погребну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</w:t>
      </w:r>
      <w:proofErr w:type="spellEnd"/>
      <w:r>
        <w:rPr>
          <w:rFonts w:eastAsia="Calibri"/>
          <w:sz w:val="24"/>
          <w:szCs w:val="24"/>
        </w:rPr>
        <w:t xml:space="preserve">, а </w:t>
      </w:r>
      <w:proofErr w:type="spellStart"/>
      <w:r>
        <w:rPr>
          <w:rFonts w:eastAsia="Calibri"/>
          <w:sz w:val="24"/>
          <w:szCs w:val="24"/>
        </w:rPr>
        <w:t>није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обухваћено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овом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Одлуком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примењиваће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Закон</w:t>
      </w:r>
      <w:proofErr w:type="spellEnd"/>
      <w:r>
        <w:rPr>
          <w:rFonts w:eastAsia="Calibri"/>
          <w:sz w:val="24"/>
          <w:szCs w:val="24"/>
        </w:rPr>
        <w:t xml:space="preserve"> о </w:t>
      </w:r>
      <w:proofErr w:type="spellStart"/>
      <w:r>
        <w:rPr>
          <w:rFonts w:eastAsia="Calibri"/>
          <w:sz w:val="24"/>
          <w:szCs w:val="24"/>
        </w:rPr>
        <w:t>комуналним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делатностима</w:t>
      </w:r>
      <w:proofErr w:type="spellEnd"/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Закон</w:t>
      </w:r>
      <w:proofErr w:type="spellEnd"/>
      <w:r>
        <w:rPr>
          <w:rFonts w:eastAsia="Calibri"/>
          <w:sz w:val="24"/>
          <w:szCs w:val="24"/>
        </w:rPr>
        <w:t xml:space="preserve"> о </w:t>
      </w:r>
      <w:proofErr w:type="spellStart"/>
      <w:r>
        <w:rPr>
          <w:rFonts w:eastAsia="Calibri"/>
          <w:sz w:val="24"/>
          <w:szCs w:val="24"/>
        </w:rPr>
        <w:t>инспекцијском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надзору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Казнене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одредбе</w:t>
      </w:r>
      <w:proofErr w:type="spellEnd"/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12.</w:t>
      </w:r>
      <w:proofErr w:type="gramEnd"/>
    </w:p>
    <w:p w:rsidR="005B621C" w:rsidRDefault="005B621C" w:rsidP="005B621C">
      <w:pPr>
        <w:spacing w:before="0" w:after="200" w:line="276" w:lineRule="auto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Новчаном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казном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50.000 </w:t>
      </w:r>
      <w:proofErr w:type="spellStart"/>
      <w:r>
        <w:rPr>
          <w:rFonts w:eastAsia="Calibri"/>
          <w:sz w:val="24"/>
          <w:szCs w:val="24"/>
        </w:rPr>
        <w:t>динара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казниће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прекршај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привредно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друштво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или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други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привредни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субјекат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који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није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регистрован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обављање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погребне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услуге</w:t>
      </w:r>
      <w:proofErr w:type="spellEnd"/>
      <w:r>
        <w:rPr>
          <w:rFonts w:eastAsia="Calibri"/>
          <w:sz w:val="24"/>
          <w:szCs w:val="24"/>
        </w:rPr>
        <w:t xml:space="preserve"> (</w:t>
      </w:r>
      <w:proofErr w:type="spell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4.).</w:t>
      </w:r>
      <w:proofErr w:type="gramEnd"/>
    </w:p>
    <w:p w:rsidR="005B621C" w:rsidRDefault="005B621C" w:rsidP="005B621C">
      <w:pPr>
        <w:spacing w:before="0" w:after="200" w:line="276" w:lineRule="auto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Новчаном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казном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10.000 </w:t>
      </w:r>
      <w:proofErr w:type="spellStart"/>
      <w:r>
        <w:rPr>
          <w:rFonts w:eastAsia="Calibri"/>
          <w:sz w:val="24"/>
          <w:szCs w:val="24"/>
        </w:rPr>
        <w:t>динара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казниће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предузетник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</w:p>
    <w:p w:rsidR="005B621C" w:rsidRDefault="005B621C" w:rsidP="005B621C">
      <w:pPr>
        <w:spacing w:before="0" w:after="200" w:line="276" w:lineRule="auto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Новчаном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казном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5.000 </w:t>
      </w:r>
      <w:proofErr w:type="spellStart"/>
      <w:r>
        <w:rPr>
          <w:rFonts w:eastAsia="Calibri"/>
          <w:sz w:val="24"/>
          <w:szCs w:val="24"/>
        </w:rPr>
        <w:t>динара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казниће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субјекти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из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члана</w:t>
      </w:r>
      <w:proofErr w:type="spellEnd"/>
      <w:r>
        <w:rPr>
          <w:rFonts w:eastAsia="Calibri"/>
          <w:sz w:val="24"/>
          <w:szCs w:val="24"/>
        </w:rPr>
        <w:t xml:space="preserve"> 3.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/>
          <w:sz w:val="24"/>
          <w:szCs w:val="24"/>
        </w:rPr>
        <w:t>Одлуке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који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придржавају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реда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гробљу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утврђеног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стране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јавног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предузећа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коме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поверени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послови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управљања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гробљем</w:t>
      </w:r>
      <w:proofErr w:type="spellEnd"/>
      <w:r>
        <w:rPr>
          <w:rFonts w:eastAsia="Calibri"/>
          <w:sz w:val="24"/>
          <w:szCs w:val="24"/>
        </w:rPr>
        <w:t xml:space="preserve"> (</w:t>
      </w:r>
      <w:proofErr w:type="spell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6.).</w:t>
      </w:r>
      <w:proofErr w:type="gramEnd"/>
    </w:p>
    <w:p w:rsidR="005B621C" w:rsidRDefault="005B621C" w:rsidP="005B621C">
      <w:pPr>
        <w:spacing w:before="0" w:after="200" w:line="276" w:lineRule="auto"/>
        <w:jc w:val="center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Члан</w:t>
      </w:r>
      <w:proofErr w:type="spellEnd"/>
      <w:r>
        <w:rPr>
          <w:rFonts w:eastAsia="Calibri"/>
          <w:sz w:val="24"/>
          <w:szCs w:val="24"/>
        </w:rPr>
        <w:t xml:space="preserve"> 13.</w:t>
      </w:r>
      <w:proofErr w:type="gramEnd"/>
    </w:p>
    <w:p w:rsidR="005B621C" w:rsidRDefault="005B621C" w:rsidP="005B621C">
      <w:pPr>
        <w:spacing w:before="0" w:after="200" w:line="276" w:lineRule="auto"/>
        <w:ind w:firstLine="708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sz w:val="24"/>
          <w:szCs w:val="24"/>
        </w:rPr>
        <w:t>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одлука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ступа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снагу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осмог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дана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дана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објављивања</w:t>
      </w:r>
      <w:proofErr w:type="spellEnd"/>
      <w:r>
        <w:rPr>
          <w:rFonts w:eastAsia="Calibri"/>
          <w:sz w:val="24"/>
          <w:szCs w:val="24"/>
        </w:rPr>
        <w:t xml:space="preserve"> у </w:t>
      </w:r>
      <w:r w:rsidR="008C5074">
        <w:rPr>
          <w:rFonts w:eastAsia="Calibri"/>
          <w:sz w:val="24"/>
          <w:szCs w:val="24"/>
          <w:lang w:val="sr-Cyrl-RS"/>
        </w:rPr>
        <w:t>„</w:t>
      </w:r>
      <w:proofErr w:type="spellStart"/>
      <w:r>
        <w:rPr>
          <w:rFonts w:eastAsia="Calibri"/>
          <w:sz w:val="24"/>
          <w:szCs w:val="24"/>
        </w:rPr>
        <w:t>Сл</w:t>
      </w:r>
      <w:proofErr w:type="spellEnd"/>
      <w:r w:rsidR="008C5074">
        <w:rPr>
          <w:rFonts w:eastAsia="Calibri"/>
          <w:sz w:val="24"/>
          <w:szCs w:val="24"/>
          <w:lang w:val="sr-Cyrl-RS"/>
        </w:rPr>
        <w:t>у</w:t>
      </w:r>
      <w:proofErr w:type="spellStart"/>
      <w:r>
        <w:rPr>
          <w:rFonts w:eastAsia="Calibri"/>
          <w:sz w:val="24"/>
          <w:szCs w:val="24"/>
        </w:rPr>
        <w:t>жбеном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гласнику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града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Лесковца</w:t>
      </w:r>
      <w:proofErr w:type="spellEnd"/>
      <w:r w:rsidR="008C5074">
        <w:rPr>
          <w:rFonts w:eastAsia="Calibri"/>
          <w:sz w:val="24"/>
          <w:szCs w:val="24"/>
          <w:lang w:val="sr-Cyrl-RS"/>
        </w:rPr>
        <w:t>“</w:t>
      </w:r>
      <w:bookmarkStart w:id="0" w:name="_GoBack"/>
      <w:bookmarkEnd w:id="0"/>
      <w:r>
        <w:rPr>
          <w:rFonts w:eastAsia="Calibri"/>
          <w:sz w:val="24"/>
          <w:szCs w:val="24"/>
        </w:rPr>
        <w:t>.</w:t>
      </w:r>
      <w:proofErr w:type="gramEnd"/>
    </w:p>
    <w:p w:rsidR="005B621C" w:rsidRDefault="005B621C" w:rsidP="005B621C">
      <w:pPr>
        <w:rPr>
          <w:sz w:val="24"/>
          <w:szCs w:val="24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5B621C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5B621C">
        <w:rPr>
          <w:sz w:val="24"/>
          <w:szCs w:val="24"/>
          <w:lang w:val="sr-Cyrl-CS"/>
        </w:rPr>
        <w:t xml:space="preserve"> Број:</w:t>
      </w:r>
      <w:r w:rsidRPr="00BE7C9E">
        <w:rPr>
          <w:sz w:val="24"/>
          <w:szCs w:val="24"/>
          <w:lang w:val="sr-Cyrl-CS"/>
        </w:rPr>
        <w:t>06-</w:t>
      </w:r>
      <w:r w:rsidR="005B621C">
        <w:rPr>
          <w:sz w:val="24"/>
          <w:szCs w:val="24"/>
          <w:lang w:val="sr-Cyrl-CS"/>
        </w:rPr>
        <w:t>50</w:t>
      </w:r>
      <w:r w:rsidRPr="00BE7C9E">
        <w:rPr>
          <w:sz w:val="24"/>
          <w:szCs w:val="24"/>
          <w:lang w:val="sr-Cyrl-CS"/>
        </w:rPr>
        <w:t>/2019</w:t>
      </w:r>
      <w:r>
        <w:rPr>
          <w:sz w:val="24"/>
          <w:szCs w:val="24"/>
          <w:lang w:val="sr-Cyrl-CS"/>
        </w:rPr>
        <w:t>/</w:t>
      </w:r>
      <w:r w:rsidR="005B621C">
        <w:rPr>
          <w:sz w:val="24"/>
          <w:szCs w:val="24"/>
          <w:lang w:val="sr-Cyrl-CS"/>
        </w:rPr>
        <w:t>8</w:t>
      </w:r>
    </w:p>
    <w:p w:rsidR="005B621C" w:rsidRDefault="00BE7C9E" w:rsidP="005B621C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8F71FC">
        <w:rPr>
          <w:sz w:val="24"/>
          <w:szCs w:val="24"/>
          <w:lang w:val="sr-Cyrl-CS"/>
        </w:rPr>
        <w:t>1</w:t>
      </w:r>
      <w:r w:rsidR="005B621C">
        <w:rPr>
          <w:sz w:val="24"/>
          <w:szCs w:val="24"/>
          <w:lang w:val="sr-Cyrl-CS"/>
        </w:rPr>
        <w:t xml:space="preserve">4. </w:t>
      </w:r>
      <w:r w:rsidR="008F71FC">
        <w:rPr>
          <w:sz w:val="24"/>
          <w:szCs w:val="24"/>
          <w:lang w:val="sr-Cyrl-CS"/>
        </w:rPr>
        <w:t xml:space="preserve"> </w:t>
      </w:r>
      <w:r w:rsidR="005B621C">
        <w:rPr>
          <w:sz w:val="24"/>
          <w:szCs w:val="24"/>
          <w:lang w:val="sr-Cyrl-CS"/>
        </w:rPr>
        <w:t>новембра</w:t>
      </w:r>
      <w:r w:rsidR="008F71FC">
        <w:rPr>
          <w:sz w:val="24"/>
          <w:szCs w:val="24"/>
          <w:lang w:val="sr-Cyrl-CS"/>
        </w:rPr>
        <w:t xml:space="preserve"> 2019</w:t>
      </w:r>
      <w:r w:rsidR="005B621C">
        <w:rPr>
          <w:sz w:val="24"/>
          <w:szCs w:val="24"/>
          <w:lang w:val="sr-Cyrl-CS"/>
        </w:rPr>
        <w:t>. године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proofErr w:type="gramStart"/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  <w:proofErr w:type="gramEnd"/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9"/>
      <w:footerReference w:type="default" r:id="rId10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1D" w:rsidRDefault="00615C1D" w:rsidP="001B6DB1">
      <w:pPr>
        <w:pStyle w:val="TableText"/>
      </w:pPr>
      <w:r>
        <w:separator/>
      </w:r>
    </w:p>
  </w:endnote>
  <w:endnote w:type="continuationSeparator" w:id="0">
    <w:p w:rsidR="00615C1D" w:rsidRDefault="00615C1D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A670B1" w:rsidRPr="00FD654D">
      <w:rPr>
        <w:rStyle w:val="PageNumber"/>
      </w:rPr>
      <w:fldChar w:fldCharType="separate"/>
    </w:r>
    <w:r w:rsidR="008C5074">
      <w:rPr>
        <w:rStyle w:val="PageNumber"/>
        <w:noProof/>
      </w:rPr>
      <w:t>5</w:t>
    </w:r>
    <w:r w:rsidR="00A670B1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A670B1" w:rsidRPr="00FD654D">
      <w:rPr>
        <w:rStyle w:val="PageNumber"/>
      </w:rPr>
      <w:fldChar w:fldCharType="separate"/>
    </w:r>
    <w:r w:rsidR="008C5074">
      <w:rPr>
        <w:rStyle w:val="PageNumber"/>
        <w:noProof/>
      </w:rPr>
      <w:t>5</w:t>
    </w:r>
    <w:r w:rsidR="00A670B1"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1D" w:rsidRDefault="00615C1D" w:rsidP="001B6DB1">
      <w:pPr>
        <w:pStyle w:val="TableText"/>
      </w:pPr>
      <w:r>
        <w:separator/>
      </w:r>
    </w:p>
  </w:footnote>
  <w:footnote w:type="continuationSeparator" w:id="0">
    <w:p w:rsidR="00615C1D" w:rsidRDefault="00615C1D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B56F1"/>
    <w:multiLevelType w:val="multilevel"/>
    <w:tmpl w:val="1B084B18"/>
    <w:name w:val="Numbered list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6"/>
      <w:numFmt w:val="decimal"/>
      <w:lvlText w:val="%1.%2"/>
      <w:lvlJc w:val="left"/>
      <w:pPr>
        <w:ind w:left="360" w:firstLine="0"/>
      </w:pPr>
    </w:lvl>
    <w:lvl w:ilvl="2">
      <w:start w:val="2"/>
      <w:numFmt w:val="decimal"/>
      <w:lvlText w:val="%1.%2.%3"/>
      <w:lvlJc w:val="left"/>
      <w:pPr>
        <w:ind w:left="360" w:firstLine="0"/>
      </w:pPr>
    </w:lvl>
    <w:lvl w:ilvl="3">
      <w:start w:val="1"/>
      <w:numFmt w:val="decimal"/>
      <w:lvlText w:val="%1.%2.%3.%4"/>
      <w:lvlJc w:val="left"/>
      <w:pPr>
        <w:ind w:left="360" w:firstLine="0"/>
      </w:pPr>
    </w:lvl>
    <w:lvl w:ilvl="4">
      <w:start w:val="1"/>
      <w:numFmt w:val="decimal"/>
      <w:lvlText w:val="%1.%2.%3.%4.%5"/>
      <w:lvlJc w:val="left"/>
      <w:pPr>
        <w:ind w:left="360" w:firstLine="0"/>
      </w:pPr>
    </w:lvl>
    <w:lvl w:ilvl="5">
      <w:start w:val="1"/>
      <w:numFmt w:val="decimal"/>
      <w:lvlText w:val="%1.%2.%3.%4.%5.%6"/>
      <w:lvlJc w:val="left"/>
      <w:pPr>
        <w:ind w:left="360" w:firstLine="0"/>
      </w:pPr>
    </w:lvl>
    <w:lvl w:ilvl="6">
      <w:start w:val="1"/>
      <w:numFmt w:val="decimal"/>
      <w:lvlText w:val="%1.%2.%3.%4.%5.%6.%7"/>
      <w:lvlJc w:val="left"/>
      <w:pPr>
        <w:ind w:left="360" w:firstLine="0"/>
      </w:pPr>
    </w:lvl>
    <w:lvl w:ilvl="7">
      <w:start w:val="1"/>
      <w:numFmt w:val="decimal"/>
      <w:lvlText w:val="%1.%2.%3.%4.%5.%6.%7.%8"/>
      <w:lvlJc w:val="left"/>
      <w:pPr>
        <w:ind w:left="360" w:firstLine="0"/>
      </w:pPr>
    </w:lvl>
    <w:lvl w:ilvl="8">
      <w:start w:val="1"/>
      <w:numFmt w:val="decimal"/>
      <w:lvlText w:val="%1.%2.%3.%4.%5.%6.%7.%8.%9"/>
      <w:lvlJc w:val="left"/>
      <w:pPr>
        <w:ind w:left="360" w:firstLine="0"/>
      </w:pPr>
    </w:lvl>
  </w:abstractNum>
  <w:abstractNum w:abstractNumId="2">
    <w:nsid w:val="07B425FC"/>
    <w:multiLevelType w:val="hybridMultilevel"/>
    <w:tmpl w:val="FE0C99EC"/>
    <w:name w:val="Numbered list 6"/>
    <w:lvl w:ilvl="0" w:tplc="8684F330">
      <w:start w:val="1"/>
      <w:numFmt w:val="decimal"/>
      <w:lvlText w:val="%1."/>
      <w:lvlJc w:val="left"/>
      <w:pPr>
        <w:ind w:left="360" w:firstLine="0"/>
      </w:pPr>
    </w:lvl>
    <w:lvl w:ilvl="1" w:tplc="0324E3D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72C70D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9CC2E7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06E7A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96C66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5ACD0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0428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21C08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149002DB"/>
    <w:multiLevelType w:val="multilevel"/>
    <w:tmpl w:val="64A20E96"/>
    <w:name w:val="Numbered list 3"/>
    <w:lvl w:ilvl="0">
      <w:start w:val="1"/>
      <w:numFmt w:val="decimal"/>
      <w:lvlText w:val="%1."/>
      <w:lvlJc w:val="left"/>
      <w:pPr>
        <w:ind w:left="408" w:firstLine="0"/>
      </w:pPr>
    </w:lvl>
    <w:lvl w:ilvl="1">
      <w:start w:val="8"/>
      <w:numFmt w:val="decimal"/>
      <w:lvlText w:val="%1.%2"/>
      <w:lvlJc w:val="left"/>
      <w:pPr>
        <w:ind w:left="408" w:firstLine="0"/>
      </w:pPr>
    </w:lvl>
    <w:lvl w:ilvl="2">
      <w:start w:val="3"/>
      <w:numFmt w:val="decimal"/>
      <w:lvlText w:val="%1.%2.%3"/>
      <w:lvlJc w:val="left"/>
      <w:pPr>
        <w:ind w:left="408" w:firstLine="0"/>
      </w:pPr>
    </w:lvl>
    <w:lvl w:ilvl="3">
      <w:start w:val="2"/>
      <w:numFmt w:val="decimal"/>
      <w:lvlText w:val="%1.%2.%3.%4"/>
      <w:lvlJc w:val="left"/>
      <w:pPr>
        <w:ind w:left="408" w:firstLine="0"/>
      </w:pPr>
    </w:lvl>
    <w:lvl w:ilvl="4">
      <w:start w:val="1"/>
      <w:numFmt w:val="decimal"/>
      <w:lvlText w:val="%1.%2.%3.%4.%5"/>
      <w:lvlJc w:val="left"/>
      <w:pPr>
        <w:ind w:left="408" w:firstLine="0"/>
      </w:pPr>
    </w:lvl>
    <w:lvl w:ilvl="5">
      <w:start w:val="1"/>
      <w:numFmt w:val="decimal"/>
      <w:lvlText w:val="%1.%2.%3.%4.%5.%6"/>
      <w:lvlJc w:val="left"/>
      <w:pPr>
        <w:ind w:left="408" w:firstLine="0"/>
      </w:pPr>
    </w:lvl>
    <w:lvl w:ilvl="6">
      <w:start w:val="1"/>
      <w:numFmt w:val="decimal"/>
      <w:lvlText w:val="%1.%2.%3.%4.%5.%6.%7"/>
      <w:lvlJc w:val="left"/>
      <w:pPr>
        <w:ind w:left="408" w:firstLine="0"/>
      </w:pPr>
    </w:lvl>
    <w:lvl w:ilvl="7">
      <w:start w:val="1"/>
      <w:numFmt w:val="decimal"/>
      <w:lvlText w:val="%1.%2.%3.%4.%5.%6.%7.%8"/>
      <w:lvlJc w:val="left"/>
      <w:pPr>
        <w:ind w:left="408" w:firstLine="0"/>
      </w:pPr>
    </w:lvl>
    <w:lvl w:ilvl="8">
      <w:start w:val="1"/>
      <w:numFmt w:val="decimal"/>
      <w:lvlText w:val="%1.%2.%3.%4.%5.%6.%7.%8.%9"/>
      <w:lvlJc w:val="left"/>
      <w:pPr>
        <w:ind w:left="408" w:firstLine="0"/>
      </w:pPr>
    </w:lvl>
  </w:abstractNum>
  <w:abstractNum w:abstractNumId="4">
    <w:nsid w:val="153E18D9"/>
    <w:multiLevelType w:val="hybridMultilevel"/>
    <w:tmpl w:val="EB000DDE"/>
    <w:name w:val="Numbered list 1"/>
    <w:lvl w:ilvl="0" w:tplc="5C00CA26">
      <w:start w:val="1"/>
      <w:numFmt w:val="decimal"/>
      <w:lvlText w:val="%1."/>
      <w:lvlJc w:val="left"/>
      <w:pPr>
        <w:ind w:left="360" w:firstLine="0"/>
      </w:pPr>
    </w:lvl>
    <w:lvl w:ilvl="1" w:tplc="A0E646C8">
      <w:start w:val="1"/>
      <w:numFmt w:val="lowerLetter"/>
      <w:lvlText w:val="%2."/>
      <w:lvlJc w:val="left"/>
      <w:pPr>
        <w:ind w:left="1080" w:firstLine="0"/>
      </w:pPr>
    </w:lvl>
    <w:lvl w:ilvl="2" w:tplc="BDC24AE0">
      <w:start w:val="1"/>
      <w:numFmt w:val="lowerRoman"/>
      <w:lvlText w:val="%3."/>
      <w:lvlJc w:val="left"/>
      <w:pPr>
        <w:ind w:left="1980" w:firstLine="0"/>
      </w:pPr>
    </w:lvl>
    <w:lvl w:ilvl="3" w:tplc="095C5434">
      <w:start w:val="1"/>
      <w:numFmt w:val="decimal"/>
      <w:lvlText w:val="%4."/>
      <w:lvlJc w:val="left"/>
      <w:pPr>
        <w:ind w:left="2520" w:firstLine="0"/>
      </w:pPr>
    </w:lvl>
    <w:lvl w:ilvl="4" w:tplc="DAE05816">
      <w:start w:val="1"/>
      <w:numFmt w:val="lowerLetter"/>
      <w:lvlText w:val="%5."/>
      <w:lvlJc w:val="left"/>
      <w:pPr>
        <w:ind w:left="3240" w:firstLine="0"/>
      </w:pPr>
    </w:lvl>
    <w:lvl w:ilvl="5" w:tplc="965274C2">
      <w:start w:val="1"/>
      <w:numFmt w:val="lowerRoman"/>
      <w:lvlText w:val="%6."/>
      <w:lvlJc w:val="left"/>
      <w:pPr>
        <w:ind w:left="4140" w:firstLine="0"/>
      </w:pPr>
    </w:lvl>
    <w:lvl w:ilvl="6" w:tplc="D9564FF6">
      <w:start w:val="1"/>
      <w:numFmt w:val="decimal"/>
      <w:lvlText w:val="%7."/>
      <w:lvlJc w:val="left"/>
      <w:pPr>
        <w:ind w:left="4680" w:firstLine="0"/>
      </w:pPr>
    </w:lvl>
    <w:lvl w:ilvl="7" w:tplc="19CAA7A6">
      <w:start w:val="1"/>
      <w:numFmt w:val="lowerLetter"/>
      <w:lvlText w:val="%8."/>
      <w:lvlJc w:val="left"/>
      <w:pPr>
        <w:ind w:left="5400" w:firstLine="0"/>
      </w:pPr>
    </w:lvl>
    <w:lvl w:ilvl="8" w:tplc="291A19CA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1861935"/>
    <w:multiLevelType w:val="hybridMultilevel"/>
    <w:tmpl w:val="66AC43A8"/>
    <w:name w:val="Numbered list 2"/>
    <w:lvl w:ilvl="0" w:tplc="D7A20588">
      <w:start w:val="1"/>
      <w:numFmt w:val="decimal"/>
      <w:lvlText w:val="%1."/>
      <w:lvlJc w:val="left"/>
      <w:pPr>
        <w:ind w:left="360" w:firstLine="0"/>
      </w:pPr>
    </w:lvl>
    <w:lvl w:ilvl="1" w:tplc="A5122B66">
      <w:start w:val="1"/>
      <w:numFmt w:val="lowerLetter"/>
      <w:lvlText w:val="%2."/>
      <w:lvlJc w:val="left"/>
      <w:pPr>
        <w:ind w:left="1080" w:firstLine="0"/>
      </w:pPr>
    </w:lvl>
    <w:lvl w:ilvl="2" w:tplc="399ECBD0">
      <w:start w:val="1"/>
      <w:numFmt w:val="lowerRoman"/>
      <w:lvlText w:val="%3."/>
      <w:lvlJc w:val="left"/>
      <w:pPr>
        <w:ind w:left="1980" w:firstLine="0"/>
      </w:pPr>
    </w:lvl>
    <w:lvl w:ilvl="3" w:tplc="90AA39DC">
      <w:start w:val="1"/>
      <w:numFmt w:val="decimal"/>
      <w:lvlText w:val="%4."/>
      <w:lvlJc w:val="left"/>
      <w:pPr>
        <w:ind w:left="2520" w:firstLine="0"/>
      </w:pPr>
    </w:lvl>
    <w:lvl w:ilvl="4" w:tplc="34AACC66">
      <w:start w:val="1"/>
      <w:numFmt w:val="lowerLetter"/>
      <w:lvlText w:val="%5."/>
      <w:lvlJc w:val="left"/>
      <w:pPr>
        <w:ind w:left="3240" w:firstLine="0"/>
      </w:pPr>
    </w:lvl>
    <w:lvl w:ilvl="5" w:tplc="ECD8B03C">
      <w:start w:val="1"/>
      <w:numFmt w:val="lowerRoman"/>
      <w:lvlText w:val="%6."/>
      <w:lvlJc w:val="left"/>
      <w:pPr>
        <w:ind w:left="4140" w:firstLine="0"/>
      </w:pPr>
    </w:lvl>
    <w:lvl w:ilvl="6" w:tplc="9D02F18C">
      <w:start w:val="1"/>
      <w:numFmt w:val="decimal"/>
      <w:lvlText w:val="%7."/>
      <w:lvlJc w:val="left"/>
      <w:pPr>
        <w:ind w:left="4680" w:firstLine="0"/>
      </w:pPr>
    </w:lvl>
    <w:lvl w:ilvl="7" w:tplc="4002F11C">
      <w:start w:val="1"/>
      <w:numFmt w:val="lowerLetter"/>
      <w:lvlText w:val="%8."/>
      <w:lvlJc w:val="left"/>
      <w:pPr>
        <w:ind w:left="5400" w:firstLine="0"/>
      </w:pPr>
    </w:lvl>
    <w:lvl w:ilvl="8" w:tplc="4DCC0084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A5A24"/>
    <w:rsid w:val="004A727C"/>
    <w:rsid w:val="004B1BB8"/>
    <w:rsid w:val="004C7E56"/>
    <w:rsid w:val="005440DC"/>
    <w:rsid w:val="00580A28"/>
    <w:rsid w:val="005937F5"/>
    <w:rsid w:val="005B621C"/>
    <w:rsid w:val="005C26AF"/>
    <w:rsid w:val="005C509F"/>
    <w:rsid w:val="005C552B"/>
    <w:rsid w:val="005F1933"/>
    <w:rsid w:val="00603ED6"/>
    <w:rsid w:val="00615C1D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7393C"/>
    <w:rsid w:val="007827D5"/>
    <w:rsid w:val="00797DFC"/>
    <w:rsid w:val="007A0F08"/>
    <w:rsid w:val="007C16D8"/>
    <w:rsid w:val="007E315C"/>
    <w:rsid w:val="007F6C93"/>
    <w:rsid w:val="008448FD"/>
    <w:rsid w:val="00861E99"/>
    <w:rsid w:val="008C5074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qFormat/>
    <w:rsid w:val="005B621C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noProof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2A24-0866-4004-8BB4-00B95916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18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6</cp:revision>
  <cp:lastPrinted>2019-11-20T10:45:00Z</cp:lastPrinted>
  <dcterms:created xsi:type="dcterms:W3CDTF">2018-07-27T09:19:00Z</dcterms:created>
  <dcterms:modified xsi:type="dcterms:W3CDTF">2019-11-20T10:46:00Z</dcterms:modified>
</cp:coreProperties>
</file>